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Bdr>
          <w:bottom w:val="single" w:sz="12" w:space="2" w:color="000000"/>
        </w:pBdr>
      </w:pPr>
      <w:r>
        <w:rPr>
          <w:b/>
        </w:rPr>
        <w:t>2. VALUE OF THE CRP PROJECT, EXPECTED OUTCOMES, AND IMPACT</w:t>
      </w:r>
    </w:p>
    <w:p>
      <w:pPr>
        <w:spacing w:before="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 (Figure 4).</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 This architecture allows Olera to commercialize provider-facing staffing while preserving broad, free access to CareNavigator and building the evidence needed for future institutional contracting.</w:t>
      </w:r>
    </w:p>
    <w:p>
      <w:pPr>
        <w:keepNext/>
        <w:spacing w:before="120" w:after="40"/>
        <w:jc w:val="center"/>
      </w:pPr>
      <w:r>
        <w:drawing>
          <wp:inline xmlns:a="http://schemas.openxmlformats.org/drawingml/2006/main" xmlns:pic="http://schemas.openxmlformats.org/drawingml/2006/picture">
            <wp:extent cx="6583680" cy="3801328"/>
            <wp:docPr id="1" name="Picture 1"/>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6583680" cy="3801328"/>
                    </a:xfrm>
                    <a:prstGeom prst="rect"/>
                  </pic:spPr>
                </pic:pic>
              </a:graphicData>
            </a:graphic>
          </wp:inline>
        </w:drawing>
      </w:r>
    </w:p>
    <w:p>
      <w:pPr>
        <w:spacing w:after="120"/>
        <w:jc w:val="left"/>
      </w:pPr>
      <w:r>
        <w:rPr>
          <w:b/>
          <w:i w:val="0"/>
          <w:sz w:val="18"/>
        </w:rPr>
        <w:t>Figure 4.</w:t>
      </w:r>
      <w:r>
        <w:rPr>
          <w:b w:val="0"/>
          <w:i w:val="0"/>
          <w:sz w:val="18"/>
        </w:rPr>
        <w:t xml:space="preserve"> What a family sees, what the system does, and what accumulates across a county. Shaded elements exist today; the county register is illustrative only.</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More than 200 NIH/NSF I-Corps customer-discovery interviews also identified caregiver availability as a recurrent constraint.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Existing approaches are useful but fragmented. Table 1 organizes the gap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1404"/>
            <w:tcBorders>
              <w:bottom w:val="single" w:sz="8" w:space="0" w:color="14453F"/>
            </w:tcBorders>
          </w:tcPr>
          <w:p>
            <w:pPr>
              <w:spacing w:before="30" w:after="30"/>
              <w:jc w:val="left"/>
            </w:pPr>
            <w:r/>
            <w:r>
              <w:rPr>
                <w:b/>
                <w:i w:val="0"/>
                <w:color w:val="14453F"/>
                <w:sz w:val="18"/>
              </w:rPr>
              <w:t>Pathway step</w:t>
            </w:r>
          </w:p>
        </w:tc>
        <w:tc>
          <w:tcPr>
            <w:tcW w:type="dxa" w:w="2592"/>
            <w:tcBorders>
              <w:bottom w:val="single" w:sz="8" w:space="0" w:color="14453F"/>
            </w:tcBorders>
          </w:tcPr>
          <w:p>
            <w:pPr>
              <w:spacing w:before="30" w:after="30"/>
              <w:jc w:val="left"/>
            </w:pPr>
            <w:r/>
            <w:r>
              <w:rPr>
                <w:b/>
                <w:i w:val="0"/>
                <w:color w:val="14453F"/>
                <w:sz w:val="18"/>
              </w:rPr>
              <w:t>What exists today</w:t>
            </w:r>
          </w:p>
        </w:tc>
        <w:tc>
          <w:tcPr>
            <w:tcW w:type="dxa" w:w="3240"/>
            <w:tcBorders>
              <w:bottom w:val="single" w:sz="8" w:space="0" w:color="14453F"/>
            </w:tcBorders>
          </w:tcPr>
          <w:p>
            <w:pPr>
              <w:spacing w:before="30" w:after="30"/>
              <w:jc w:val="left"/>
            </w:pPr>
            <w:r/>
            <w:r>
              <w:rPr>
                <w:b/>
                <w:i w:val="0"/>
                <w:color w:val="14453F"/>
                <w:sz w:val="18"/>
              </w:rPr>
              <w:t>Where families still fall off</w:t>
            </w:r>
          </w:p>
        </w:tc>
        <w:tc>
          <w:tcPr>
            <w:tcW w:type="dxa" w:w="3564"/>
            <w:tcBorders>
              <w:bottom w:val="single" w:sz="8" w:space="0" w:color="14453F"/>
            </w:tcBorders>
          </w:tcPr>
          <w:p>
            <w:pPr>
              <w:spacing w:before="30" w:after="30"/>
              <w:jc w:val="left"/>
            </w:pPr>
            <w:r/>
            <w:r>
              <w:rPr>
                <w:b/>
                <w:i w:val="0"/>
                <w:color w:val="14453F"/>
                <w:sz w:val="18"/>
              </w:rPr>
              <w:t>Olera's CRP approach</w:t>
            </w:r>
          </w:p>
        </w:tc>
      </w:tr>
      <w:tr>
        <w:tc>
          <w:tcPr>
            <w:tcW w:type="dxa" w:w="1404"/>
            <w:tcBorders>
              <w:bottom w:val="single" w:sz="2" w:space="0" w:color="B9C4BD"/>
            </w:tcBorders>
          </w:tcPr>
          <w:p>
            <w:pPr>
              <w:spacing w:before="30" w:after="30"/>
              <w:jc w:val="left"/>
            </w:pPr>
            <w:r/>
            <w:r>
              <w:rPr>
                <w:b/>
                <w:i w:val="0"/>
                <w:color w:val="14453F"/>
                <w:sz w:val="18"/>
              </w:rPr>
              <w:t>Assess Needs</w:t>
            </w:r>
          </w:p>
        </w:tc>
        <w:tc>
          <w:tcPr>
            <w:tcW w:type="dxa" w:w="2592"/>
            <w:tcBorders>
              <w:bottom w:val="single" w:sz="2" w:space="0" w:color="B9C4BD"/>
            </w:tcBorders>
          </w:tcPr>
          <w:p>
            <w:pPr>
              <w:spacing w:before="30" w:after="30"/>
              <w:jc w:val="left"/>
            </w:pPr>
            <w:r/>
            <w:r>
              <w:rPr>
                <w:b w:val="0"/>
                <w:i w:val="0"/>
                <w:sz w:val="18"/>
              </w:rPr>
              <w:t>Screeners, clinicians, AAAs, care managers</w:t>
            </w:r>
          </w:p>
        </w:tc>
        <w:tc>
          <w:tcPr>
            <w:tcW w:type="dxa" w:w="324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3564"/>
            <w:tcBorders>
              <w:bottom w:val="single" w:sz="2" w:space="0" w:color="B9C4BD"/>
            </w:tcBorders>
          </w:tcPr>
          <w:p>
            <w:pPr>
              <w:spacing w:before="30" w:after="30"/>
              <w:jc w:val="left"/>
            </w:pPr>
            <w:r/>
            <w:r>
              <w:rPr>
                <w:b w:val="0"/>
                <w:i w:val="0"/>
                <w:sz w:val="18"/>
              </w:rPr>
              <w:t>Persistent case begins with structured needs assessment</w:t>
            </w:r>
          </w:p>
        </w:tc>
      </w:tr>
      <w:tr>
        <w:tc>
          <w:tcPr>
            <w:tcW w:type="dxa" w:w="1404"/>
            <w:tcBorders>
              <w:bottom w:val="single" w:sz="2" w:space="0" w:color="B9C4BD"/>
            </w:tcBorders>
          </w:tcPr>
          <w:p>
            <w:pPr>
              <w:spacing w:before="30" w:after="30"/>
              <w:jc w:val="left"/>
            </w:pPr>
            <w:r/>
            <w:r>
              <w:rPr>
                <w:b/>
                <w:i w:val="0"/>
                <w:color w:val="14453F"/>
                <w:sz w:val="18"/>
              </w:rPr>
              <w:t>Identify Care</w:t>
            </w:r>
          </w:p>
        </w:tc>
        <w:tc>
          <w:tcPr>
            <w:tcW w:type="dxa" w:w="2592"/>
            <w:tcBorders>
              <w:bottom w:val="single" w:sz="2" w:space="0" w:color="B9C4BD"/>
            </w:tcBorders>
          </w:tcPr>
          <w:p>
            <w:pPr>
              <w:spacing w:before="30" w:after="30"/>
              <w:jc w:val="left"/>
            </w:pPr>
            <w:r/>
            <w:r>
              <w:rPr>
                <w:b w:val="0"/>
                <w:i w:val="0"/>
                <w:sz w:val="18"/>
              </w:rPr>
              <w:t>Directories, referral platforms, social workers, care managers</w:t>
            </w:r>
          </w:p>
        </w:tc>
        <w:tc>
          <w:tcPr>
            <w:tcW w:type="dxa" w:w="3240"/>
            <w:tcBorders>
              <w:bottom w:val="single" w:sz="2" w:space="0" w:color="B9C4BD"/>
            </w:tcBorders>
          </w:tcPr>
          <w:p>
            <w:pPr>
              <w:spacing w:before="30" w:after="30"/>
              <w:jc w:val="left"/>
            </w:pPr>
            <w:r/>
            <w:r>
              <w:rPr>
                <w:b w:val="0"/>
                <w:i w:val="0"/>
                <w:sz w:val="18"/>
              </w:rPr>
              <w:t>Fragmented inventories, limited networks, and handoffs leave families to reconcile options</w:t>
            </w:r>
          </w:p>
        </w:tc>
        <w:tc>
          <w:tcPr>
            <w:tcW w:type="dxa" w:w="3564"/>
            <w:tcBorders>
              <w:bottom w:val="single" w:sz="2" w:space="0" w:color="B9C4BD"/>
            </w:tcBorders>
          </w:tcPr>
          <w:p>
            <w:pPr>
              <w:spacing w:before="30" w:after="30"/>
              <w:jc w:val="left"/>
            </w:pPr>
            <w:r/>
            <w:r>
              <w:rPr>
                <w:b w:val="0"/>
                <w:i w:val="0"/>
                <w:sz w:val="18"/>
              </w:rPr>
              <w:t>Curated national resource infrastructure identifies appropriate services and providers</w:t>
            </w:r>
          </w:p>
        </w:tc>
      </w:tr>
      <w:tr>
        <w:tc>
          <w:tcPr>
            <w:tcW w:type="dxa" w:w="1404"/>
            <w:tcBorders>
              <w:bottom w:val="single" w:sz="2" w:space="0" w:color="B9C4BD"/>
            </w:tcBorders>
          </w:tcPr>
          <w:p>
            <w:pPr>
              <w:spacing w:before="30" w:after="30"/>
              <w:jc w:val="left"/>
            </w:pPr>
            <w:r/>
            <w:r>
              <w:rPr>
                <w:b/>
                <w:i w:val="0"/>
                <w:color w:val="14453F"/>
                <w:sz w:val="18"/>
              </w:rPr>
              <w:t>Fund Care</w:t>
            </w:r>
          </w:p>
        </w:tc>
        <w:tc>
          <w:tcPr>
            <w:tcW w:type="dxa" w:w="2592"/>
            <w:tcBorders>
              <w:bottom w:val="single" w:sz="2" w:space="0" w:color="B9C4BD"/>
            </w:tcBorders>
          </w:tcPr>
          <w:p>
            <w:pPr>
              <w:spacing w:before="30" w:after="30"/>
              <w:jc w:val="left"/>
            </w:pPr>
            <w:r/>
            <w:r>
              <w:rPr>
                <w:b w:val="0"/>
                <w:i w:val="0"/>
                <w:sz w:val="18"/>
              </w:rPr>
              <w:t>Benefits tools, agencies, program websites</w:t>
            </w:r>
          </w:p>
        </w:tc>
        <w:tc>
          <w:tcPr>
            <w:tcW w:type="dxa" w:w="3240"/>
            <w:tcBorders>
              <w:bottom w:val="single" w:sz="2" w:space="0" w:color="B9C4BD"/>
            </w:tcBorders>
          </w:tcPr>
          <w:p>
            <w:pPr>
              <w:spacing w:before="30" w:after="30"/>
              <w:jc w:val="left"/>
            </w:pPr>
            <w:r/>
            <w:r>
              <w:rPr>
                <w:b w:val="0"/>
                <w:i w:val="0"/>
                <w:sz w:val="18"/>
              </w:rPr>
              <w:t>Eligibility information does not ensure applications, documentation, follow-up, or approval</w:t>
            </w:r>
          </w:p>
        </w:tc>
        <w:tc>
          <w:tcPr>
            <w:tcW w:type="dxa" w:w="3564"/>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1404"/>
            <w:tcBorders>
              <w:bottom w:val="single" w:sz="2" w:space="0" w:color="B9C4BD"/>
            </w:tcBorders>
          </w:tcPr>
          <w:p>
            <w:pPr>
              <w:spacing w:before="30" w:after="30"/>
              <w:jc w:val="left"/>
            </w:pPr>
            <w:r/>
            <w:r>
              <w:rPr>
                <w:b/>
                <w:i w:val="0"/>
                <w:color w:val="14453F"/>
                <w:sz w:val="18"/>
              </w:rPr>
              <w:t>Staff Care</w:t>
            </w:r>
          </w:p>
        </w:tc>
        <w:tc>
          <w:tcPr>
            <w:tcW w:type="dxa" w:w="2592"/>
            <w:tcBorders>
              <w:bottom w:val="single" w:sz="2" w:space="0" w:color="B9C4BD"/>
            </w:tcBorders>
          </w:tcPr>
          <w:p>
            <w:pPr>
              <w:spacing w:before="30" w:after="30"/>
              <w:jc w:val="left"/>
            </w:pPr>
            <w:r/>
            <w:r>
              <w:rPr>
                <w:b w:val="0"/>
                <w:i w:val="0"/>
                <w:sz w:val="18"/>
              </w:rPr>
              <w:t>Provider recruiting, job boards, staffing channels</w:t>
            </w:r>
          </w:p>
        </w:tc>
        <w:tc>
          <w:tcPr>
            <w:tcW w:type="dxa" w:w="3240"/>
            <w:tcBorders>
              <w:bottom w:val="single" w:sz="2" w:space="0" w:color="B9C4BD"/>
            </w:tcBorders>
          </w:tcPr>
          <w:p>
            <w:pPr>
              <w:spacing w:before="30" w:after="30"/>
              <w:jc w:val="left"/>
            </w:pPr>
            <w:r/>
            <w:r>
              <w:rPr>
                <w:b w:val="0"/>
                <w:i w:val="0"/>
                <w:sz w:val="18"/>
              </w:rPr>
              <w:t>Providers may have an appropriate opening but lack workers to serve the family</w:t>
            </w:r>
          </w:p>
        </w:tc>
        <w:tc>
          <w:tcPr>
            <w:tcW w:type="dxa" w:w="3564"/>
            <w:tcBorders>
              <w:bottom w:val="single" w:sz="2" w:space="0" w:color="B9C4BD"/>
            </w:tcBorders>
          </w:tcPr>
          <w:p>
            <w:pPr>
              <w:spacing w:before="30" w:after="30"/>
              <w:jc w:val="left"/>
            </w:pPr>
            <w:r/>
            <w:r>
              <w:rPr>
                <w:b w:val="0"/>
                <w:i w:val="0"/>
                <w:sz w:val="18"/>
              </w:rPr>
              <w:t>Caregiver Staffing creates an additional workforce channel when capacity blocks care</w:t>
            </w:r>
          </w:p>
        </w:tc>
      </w:tr>
      <w:tr>
        <w:tc>
          <w:tcPr>
            <w:tcW w:type="dxa" w:w="1404"/>
            <w:tcBorders>
              <w:bottom w:val="single" w:sz="2" w:space="0" w:color="B9C4BD"/>
            </w:tcBorders>
          </w:tcPr>
          <w:p>
            <w:pPr>
              <w:spacing w:before="30" w:after="30"/>
              <w:jc w:val="left"/>
            </w:pPr>
            <w:r/>
            <w:r>
              <w:rPr>
                <w:b/>
                <w:i w:val="0"/>
                <w:color w:val="14453F"/>
                <w:sz w:val="18"/>
              </w:rPr>
              <w:t>Execute Plan</w:t>
            </w:r>
          </w:p>
        </w:tc>
        <w:tc>
          <w:tcPr>
            <w:tcW w:type="dxa" w:w="2592"/>
            <w:tcBorders>
              <w:bottom w:val="single" w:sz="2" w:space="0" w:color="B9C4BD"/>
            </w:tcBorders>
          </w:tcPr>
          <w:p>
            <w:pPr>
              <w:spacing w:before="30" w:after="30"/>
              <w:jc w:val="left"/>
            </w:pPr>
            <w:r/>
            <w:r>
              <w:rPr>
                <w:b w:val="0"/>
                <w:i w:val="0"/>
                <w:sz w:val="18"/>
              </w:rPr>
              <w:t>Families, care managers, patient navigators, social workers</w:t>
            </w:r>
          </w:p>
        </w:tc>
        <w:tc>
          <w:tcPr>
            <w:tcW w:type="dxa" w:w="324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3564"/>
            <w:tcBorders>
              <w:bottom w:val="single" w:sz="2" w:space="0" w:color="B9C4BD"/>
            </w:tcBorders>
          </w:tcPr>
          <w:p>
            <w:pPr>
              <w:spacing w:before="30" w:after="30"/>
              <w:jc w:val="left"/>
            </w:pPr>
            <w:r/>
            <w:r>
              <w:rPr>
                <w:b w:val="0"/>
                <w:i w:val="0"/>
                <w:sz w:val="18"/>
              </w:rPr>
              <w:t>AI-supported workflows execute applications, documents, follow-up, intake, and escalation</w:t>
            </w:r>
          </w:p>
        </w:tc>
      </w:tr>
      <w:tr>
        <w:tc>
          <w:tcPr>
            <w:tcW w:type="dxa" w:w="1404"/>
            <w:tcBorders>
              <w:bottom w:val="single" w:sz="2" w:space="0" w:color="B9C4BD"/>
            </w:tcBorders>
          </w:tcPr>
          <w:p>
            <w:pPr>
              <w:spacing w:before="30" w:after="30"/>
              <w:jc w:val="left"/>
            </w:pPr>
            <w:r/>
            <w:r>
              <w:rPr>
                <w:b/>
                <w:i w:val="0"/>
                <w:color w:val="14453F"/>
                <w:sz w:val="18"/>
              </w:rPr>
              <w:t>Establish Care</w:t>
            </w:r>
          </w:p>
        </w:tc>
        <w:tc>
          <w:tcPr>
            <w:tcW w:type="dxa" w:w="2592"/>
            <w:tcBorders>
              <w:bottom w:val="single" w:sz="2" w:space="0" w:color="B9C4BD"/>
            </w:tcBorders>
          </w:tcPr>
          <w:p>
            <w:pPr>
              <w:spacing w:before="30" w:after="30"/>
              <w:jc w:val="left"/>
            </w:pPr>
            <w:r/>
            <w:r>
              <w:rPr>
                <w:b w:val="0"/>
                <w:i w:val="0"/>
                <w:sz w:val="18"/>
              </w:rPr>
              <w:t>Provider intake and admission</w:t>
            </w:r>
          </w:p>
        </w:tc>
        <w:tc>
          <w:tcPr>
            <w:tcW w:type="dxa" w:w="3240"/>
            <w:tcBorders>
              <w:bottom w:val="single" w:sz="2" w:space="0" w:color="B9C4BD"/>
            </w:tcBorders>
          </w:tcPr>
          <w:p>
            <w:pPr>
              <w:spacing w:before="30" w:after="30"/>
              <w:jc w:val="left"/>
            </w:pPr>
            <w:r/>
            <w:r>
              <w:rPr>
                <w:b w:val="0"/>
                <w:i w:val="0"/>
                <w:sz w:val="18"/>
              </w:rPr>
              <w:t>Referral or eligibility is often treated as success even when service never starts</w:t>
            </w:r>
          </w:p>
        </w:tc>
        <w:tc>
          <w:tcPr>
            <w:tcW w:type="dxa" w:w="3564"/>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1404"/>
            <w:tcBorders>
              <w:bottom w:val="single" w:sz="8" w:space="0" w:color="14453F"/>
            </w:tcBorders>
          </w:tcPr>
          <w:p>
            <w:pPr>
              <w:spacing w:before="30" w:after="30"/>
              <w:jc w:val="left"/>
            </w:pPr>
            <w:r/>
            <w:r>
              <w:rPr>
                <w:b/>
                <w:i w:val="0"/>
                <w:color w:val="14453F"/>
                <w:sz w:val="18"/>
              </w:rPr>
              <w:t>Track Outcomes</w:t>
            </w:r>
          </w:p>
        </w:tc>
        <w:tc>
          <w:tcPr>
            <w:tcW w:type="dxa" w:w="2592"/>
            <w:tcBorders>
              <w:bottom w:val="single" w:sz="8" w:space="0" w:color="14453F"/>
            </w:tcBorders>
          </w:tcPr>
          <w:p>
            <w:pPr>
              <w:spacing w:before="30" w:after="30"/>
              <w:jc w:val="left"/>
            </w:pPr>
            <w:r/>
            <w:r>
              <w:rPr>
                <w:b w:val="0"/>
                <w:i w:val="0"/>
                <w:sz w:val="18"/>
              </w:rPr>
              <w:t>Organization-specific records and claims</w:t>
            </w:r>
          </w:p>
        </w:tc>
        <w:tc>
          <w:tcPr>
            <w:tcW w:type="dxa" w:w="3240"/>
            <w:tcBorders>
              <w:bottom w:val="single" w:sz="8" w:space="0" w:color="14453F"/>
            </w:tcBorders>
          </w:tcPr>
          <w:p>
            <w:pPr>
              <w:spacing w:before="30" w:after="30"/>
              <w:jc w:val="left"/>
            </w:pPr>
            <w:r/>
            <w:r>
              <w:rPr>
                <w:b w:val="0"/>
                <w:i w:val="0"/>
                <w:sz w:val="18"/>
              </w:rPr>
              <w:t>No longitudinal record connects need, pathway failure, care establishment, and subsequent outcomes</w:t>
            </w:r>
          </w:p>
        </w:tc>
        <w:tc>
          <w:tcPr>
            <w:tcW w:type="dxa" w:w="3564"/>
            <w:tcBorders>
              <w:bottom w:val="single" w:sz="8" w:space="0" w:color="14453F"/>
            </w:tcBorders>
          </w:tcPr>
          <w:p>
            <w:pPr>
              <w:spacing w:before="30" w:after="30"/>
              <w:jc w:val="left"/>
            </w:pPr>
            <w:r/>
            <w:r>
              <w:rPr>
                <w:b w:val="0"/>
                <w:i w:val="0"/>
                <w:sz w:val="18"/>
              </w:rPr>
              <w:t>Case-level outcomes infrastructure records the pathway and supports institutional evidence generation</w:t>
            </w:r>
          </w:p>
        </w:tc>
      </w:tr>
    </w:tbl>
    <w:p>
      <w:pPr>
        <w:spacing w:before="40" w:after="120"/>
        <w:jc w:val="left"/>
      </w:pPr>
      <w:r>
        <w:rPr>
          <w:b/>
          <w:i w:val="0"/>
          <w:sz w:val="18"/>
        </w:rPr>
        <w:t>Table 1.</w:t>
      </w:r>
      <w:r>
        <w:rPr>
          <w:b w:val="0"/>
          <w:i w:val="0"/>
          <w:sz w:val="18"/>
        </w:rPr>
        <w:t xml:space="preserve"> Current approaches address portions of the care-establishment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The Research Strategy describes the underlying technical innovations in detail; commercially, three features matter most. First, CareNavigator links assessment, resource identification, funding, execution, staffing when needed, and confirmation of care rather than optimizing a single handoff. Second, AI-supported execution moves the product from recommending what a family should do toward completing and tracking the work required to establish care. Third, every executed case can produce a structured longitudinal record of the family's needs, resources pursued, administrative barriers, local capacity, care establishment, and subsequent outcomes.</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resulting analytics could inform payers and accountable care organizations seeking to reduce avoidable utilization; health systems seeking reliable transitions from referral to care; providers planning service and workforce capacity; public agencies allocating aging resources; researchers studying access and implementation; and communities identifying local gaps. The CRP tests and builds the infrastructure required to create this asset; it does not assume its value in advance (Figure 4, lower register).</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(4) geographically resolved longitudinal data describing how families move through the eldercare system; and (5)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 while each completed case improves the evidence available to make the system more effective. The CRP therefore has societal, educational, scientific, and public-health value beyond company revenue.</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104"/>
            <w:tcBorders>
              <w:bottom w:val="single" w:sz="8" w:space="0" w:color="14453F"/>
            </w:tcBorders>
          </w:tcPr>
          <w:p>
            <w:pPr>
              <w:keepNext/>
              <w:spacing w:before="30" w:after="30"/>
              <w:jc w:val="left"/>
            </w:pPr>
            <w:r/>
            <w:r>
              <w:rPr>
                <w:b/>
                <w:i w:val="0"/>
                <w:color w:val="14453F"/>
                <w:sz w:val="18"/>
              </w:rPr>
              <w:t>Impact potential</w:t>
            </w:r>
          </w:p>
        </w:tc>
        <w:tc>
          <w:tcPr>
            <w:tcW w:type="dxa" w:w="3240"/>
            <w:tcBorders>
              <w:bottom w:val="single" w:sz="8" w:space="0" w:color="14453F"/>
            </w:tcBorders>
          </w:tcPr>
          <w:p>
            <w:pPr>
              <w:keepNext/>
              <w:spacing w:before="30" w:after="30"/>
              <w:jc w:val="left"/>
            </w:pPr>
            <w:r/>
            <w:r>
              <w:rPr>
                <w:b/>
                <w:i w:val="0"/>
                <w:color w:val="14453F"/>
                <w:sz w:val="18"/>
              </w:rPr>
              <w:t>Measured by</w:t>
            </w:r>
          </w:p>
        </w:tc>
        <w:tc>
          <w:tcPr>
            <w:tcW w:type="dxa" w:w="3456"/>
            <w:tcBorders>
              <w:bottom w:val="single" w:sz="8" w:space="0" w:color="14453F"/>
            </w:tcBorders>
          </w:tcPr>
          <w:p>
            <w:pPr>
              <w:keepNext/>
              <w:spacing w:before="30" w:after="30"/>
              <w:jc w:val="left"/>
            </w:pPr>
            <w:r/>
            <w:r>
              <w:rPr>
                <w:b/>
                <w:i w:val="0"/>
                <w:color w:val="14453F"/>
                <w:sz w:val="18"/>
              </w:rPr>
              <w:t>National priority served</w:t>
            </w:r>
          </w:p>
        </w:tc>
      </w:tr>
      <w:tr>
        <w:tc>
          <w:tcPr>
            <w:tcW w:type="dxa" w:w="4104"/>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24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456"/>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4104"/>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24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456"/>
            <w:tcBorders>
              <w:bottom w:val="single" w:sz="2" w:space="0" w:color="B9C4BD"/>
            </w:tcBorders>
          </w:tcPr>
          <w:p>
            <w:pPr>
              <w:keepNext/>
              <w:spacing w:before="30" w:after="30"/>
              <w:jc w:val="left"/>
            </w:pPr>
            <w:r/>
            <w:r>
              <w:rPr>
                <w:b w:val="0"/>
                <w:i w:val="0"/>
                <w:sz w:val="18"/>
              </w:rPr>
              <w:t>National direct-care workforce need</w:t>
            </w:r>
          </w:p>
        </w:tc>
      </w:tr>
      <w:tr>
        <w:tc>
          <w:tcPr>
            <w:tcW w:type="dxa" w:w="4104"/>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what resolves failure, and how patterns differ across communities</w:t>
            </w:r>
          </w:p>
        </w:tc>
        <w:tc>
          <w:tcPr>
            <w:tcW w:type="dxa" w:w="3240"/>
            <w:tcBorders>
              <w:bottom w:val="single" w:sz="8" w:space="0" w:color="14453F"/>
            </w:tcBorders>
          </w:tcPr>
          <w:p>
            <w:pPr>
              <w:spacing w:before="30" w:after="30"/>
              <w:jc w:val="left"/>
            </w:pPr>
            <w:r/>
            <w:r>
              <w:rPr>
                <w:b w:val="0"/>
                <w:i w:val="0"/>
                <w:sz w:val="18"/>
              </w:rPr>
              <w:t>Case-level pathway records; failure points; county-level capacity and outcomes; longitudinal follow-up</w:t>
            </w:r>
          </w:p>
        </w:tc>
        <w:tc>
          <w:tcPr>
            <w:tcW w:type="dxa" w:w="3456"/>
            <w:tcBorders>
              <w:bottom w:val="single" w:sz="8" w:space="0" w:color="14453F"/>
            </w:tcBorders>
          </w:tcPr>
          <w:p>
            <w:pPr>
              <w:spacing w:before="30" w:after="30"/>
              <w:jc w:val="left"/>
            </w:pPr>
            <w:r/>
            <w:r>
              <w:rPr>
                <w:b w:val="0"/>
                <w:i w:val="0"/>
                <w:sz w:val="18"/>
              </w:rPr>
              <w:t>Healthy aging, integrated care, long-term care access, and implementation research</w:t>
            </w:r>
          </w:p>
        </w:tc>
      </w:tr>
    </w:tbl>
    <w:p>
      <w:pPr>
        <w:spacing w:before="40" w:after="120"/>
        <w:jc w:val="left"/>
      </w:pPr>
      <w:r>
        <w:rPr>
          <w:b/>
          <w:i w:val="0"/>
          <w:sz w:val="18"/>
        </w:rPr>
        <w:t>Table 2.</w:t>
      </w:r>
      <w:r>
        <w:rPr>
          <w:b w:val="0"/>
          <w:i w:val="0"/>
          <w:sz w:val="18"/>
        </w:rPr>
        <w:t xml:space="preserve"> Commercial growth produces measurable societal, educational, scientific, and public-health value.</w:t>
      </w:r>
    </w:p>
    <w:p>
      <w:pPr>
        <w:spacing w:before="160" w:after="60"/>
        <w:jc w:val="both"/>
      </w:pPr>
      <w:r>
        <w:rPr>
          <w:b/>
          <w:i w:val="0"/>
        </w:rPr>
        <w:t>Integration with Olera's business plan.</w:t>
      </w:r>
      <w:r>
        <w:rPr>
          <w:b w:val="0"/>
          <w:i w:val="0"/>
        </w:rPr>
        <w:t xml:space="preserve"> These CRP outputs integrate directly with Olera's commercialization strategy. Caregiver Staffing provides a nearer-term provider-revenue pathway while serving as a capacity mechanism to enable care establishment where staff is short. CareNavigator's execution and outcomes infrastructure builds the evidence required for larger institutional contracts with organizations that benefit when members establish appropriate care earlier. Together, these pathways are designed to sustain a free-to-families CareNavigator while creating the commercial proof needed for subsequent private investment. Olera's history, capabilities, financing, management, and post-CRP growth strategy are described in the Company section that follows.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