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reach the point where we, or someone we love, needs help with bathing, dressing, meals, medications, and moving safely through the home. Most families meet that moment at its worst, after a fall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p>
      <w:pPr>
        <w:keepNext/>
        <w:spacing w:before="80" w:after="40"/>
        <w:jc w:val="center"/>
      </w:pPr>
      <w:r>
        <w:drawing>
          <wp:inline xmlns:a="http://schemas.openxmlformats.org/drawingml/2006/main" xmlns:pic="http://schemas.openxmlformats.org/drawingml/2006/picture">
            <wp:extent cx="6126480" cy="364903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3649039"/>
                    </a:xfrm>
                    <a:prstGeom prst="rect"/>
                  </pic:spPr>
                </pic:pic>
              </a:graphicData>
            </a:graphic>
          </wp:inline>
        </w:drawing>
      </w:r>
    </w:p>
    <w:p>
      <w:pPr>
        <w:spacing w:after="8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Those costs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CAPABLE measured the inversion directly: roughly $3,000 in program cost against more than $20,000 in reduced Medicaid spending per participant,</w:t>
      </w:r>
      <w:r>
        <w:rPr>
          <w:b w:val="0"/>
          <w:i w:val="0"/>
          <w:vertAlign w:val="superscript"/>
        </w:rPr>
        <w:t>12</w:t>
      </w:r>
      <w:r>
        <w:rPr>
          <w:b w:val="0"/>
          <w:i w:val="0"/>
        </w:rPr>
        <w:t xml:space="preserve"> with disability reduced across multiple randomized trials.</w:t>
      </w:r>
      <w:r>
        <w:rPr>
          <w:b w:val="0"/>
          <w:i w:val="0"/>
          <w:vertAlign w:val="superscript"/>
        </w:rPr>
        <w:t>13</w:t>
      </w:r>
      <w:r>
        <w:rPr>
          <w:b w:val="0"/>
          <w:i w:val="0"/>
        </w:rPr>
        <w:t xml:space="preserve"> </w:t>
      </w:r>
      <w:r>
        <w:rPr>
          <w:b/>
          <w:i w:val="0"/>
        </w:rPr>
        <w:t>The money to support older adults at home largely exists already. It is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A family that knows exactly which program it qualifies for still has to complete the application, gather documents, file, wait, respond to requests, and then find a provider with capacity on the date the benefit starts. Existing help stops before that point. Clinicians hand off, information services return lists, and referral marketplaces introduce a provider and are paid on placement. None is accountable for whether care was established, and none can create a caregiver who does not exist.</w:t>
      </w:r>
    </w:p>
    <w:p>
      <w:pPr>
        <w:jc w:val="both"/>
      </w:pPr>
      <w:r>
        <w:rPr>
          <w:b w:val="0"/>
          <w:i w:val="0"/>
        </w:rPr>
        <w:t xml:space="preserve">Two things are therefore required at once: navigation that runs to a confirmed start, and capacity on the other side so the start is possible. </w:t>
      </w:r>
      <w:r>
        <w:rPr>
          <w:b/>
          <w:i w:val="0"/>
        </w:rPr>
        <w:t>Neither is sufficient alone, and that is the structural claim of this application.</w:t>
      </w:r>
      <w:r>
        <w:rPr>
          <w:b w:val="0"/>
          <w:i w:val="0"/>
        </w:rPr>
        <w:t xml:space="preserve"> A product that clears only the first two gates delivers family demand to a supply side that cannot absorb it, which is a faster path to the same refusal. We did not choose workforce development as an adjacent opportunity. We hit it as the binding constraint on our own product working.</w:t>
      </w:r>
    </w:p>
    <w:p>
      <w:pPr>
        <w:spacing w:before="12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and identifies the aid and services that fit. What this award adds is execution: agents that file the application or send the intake packet, follow up on a schedule, and confirm the date aid or care began. Alongside it, Olera recruits and verifies new caregivers and places them with licensed providers, who employ, train, insure, and supervise them. </w:t>
      </w:r>
      <w:r>
        <w:rPr>
          <w:b/>
          <w:i w:val="0"/>
        </w:rPr>
        <w:t>Only Caregiver Staffing is sold and priced during this award.</w:t>
      </w:r>
      <w:r>
        <w:rPr>
          <w:b w:val="0"/>
          <w:i w:val="0"/>
        </w:rPr>
        <w:t xml:space="preserve"> Families use CareNavigator at no cost, and no provider pays to be listed or to receive a family connection. Charging no referral fee means no steering incentive exists and federally reimbursed providers can participate, which pay-per-referral models cannot accommodate.</w:t>
      </w:r>
    </w:p>
    <w:p>
      <w:pPr>
        <w:spacing w:before="12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 </w:t>
      </w:r>
      <w:r>
        <w:rPr>
          <w:b/>
          <w:i w:val="0"/>
        </w:rPr>
        <w:t>We do not ask providers to believe in a new category. We ask them to pay less for something they already buy.</w:t>
      </w:r>
      <w:r>
        <w:rPr>
          <w:b w:val="0"/>
          <w:i w:val="0"/>
        </w:rPr>
        <w:t xml:space="preserve"> Break-even arrives at 6.3 hires a year, an agency of roughly eight caregivers, so every larger agency is ahead from the first month.</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produces evidence for it rather than selling to it. Medicare now pays directly for care navigation and caregiver support through the GUIDE model,</w:t>
      </w:r>
      <w:r>
        <w:rPr>
          <w:b w:val="0"/>
          <w:i w:val="0"/>
          <w:vertAlign w:val="superscript"/>
        </w:rPr>
        <w:t>19</w:t>
      </w:r>
      <w:r>
        <w:rPr>
          <w:b w:val="0"/>
          <w:i w:val="0"/>
        </w:rPr>
        <w:t xml:space="preserve"> and Medicare Advantage plans, managed care organizations, health systems, self-insured employers, and long-term care insurers each bear part of the cost of unmet need. The establishment and cost data this award produces is what makes them addressable. </w:t>
      </w:r>
      <w:r>
        <w:rPr>
          <w:b/>
          <w:i w:val="0"/>
        </w:rPr>
        <w:t>None is tested here and none carries an endpoint in any aim.</w:t>
      </w:r>
      <w:r>
        <w:rPr>
          <w:b w:val="0"/>
          <w:i w:val="0"/>
        </w:rPr>
        <w:t xml:space="preserve"> The Commercialization Plan models them, with the market sizing and multi-year projections this section does not carry.</w:t>
      </w:r>
    </w:p>
    <w:p>
      <w:pPr>
        <w:spacing w:before="12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Referral marketplaces charge placement fees, which determines who appears and has drawn sustained criticism.</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20" w:before="20"/>
              <w:jc w:val="left"/>
            </w:pPr>
            <w:r/>
            <w:r>
              <w:rPr>
                <w:b/>
                <w:i w:val="0"/>
                <w:color w:val="14453F"/>
                <w:sz w:val="18"/>
              </w:rPr>
              <w:t>Stage of the path to care</w:t>
            </w:r>
          </w:p>
        </w:tc>
        <w:tc>
          <w:tcPr>
            <w:tcW w:type="dxa" w:w="1598"/>
            <w:shd w:val="clear" w:fill="14453F"/>
            <w:tcBorders>
              <w:bottom w:val="single" w:sz="8" w:space="0" w:color="14453F"/>
            </w:tcBorders>
          </w:tcPr>
          <w:p>
            <w:pPr>
              <w:spacing w:after="20" w:before="2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20" w:before="2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20" w:before="2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20" w:before="2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20" w:before="2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20" w:before="20"/>
              <w:jc w:val="left"/>
            </w:pPr>
            <w:r/>
            <w:r>
              <w:rPr>
                <w:b/>
                <w:i w:val="0"/>
                <w:color w:val="14453F"/>
                <w:sz w:val="18"/>
              </w:rPr>
              <w:t>Assesses needs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Identifies aid and insurance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Matches local providers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8" w:space="0" w:color="14453F"/>
            </w:tcBorders>
          </w:tcPr>
          <w:p>
            <w:pPr>
              <w:spacing w:after="20" w:before="20"/>
              <w:jc w:val="left"/>
            </w:pPr>
            <w:r/>
            <w:r>
              <w:rPr>
                <w:b/>
                <w:i w:val="0"/>
                <w:color w:val="14453F"/>
                <w:sz w:val="18"/>
              </w:rPr>
              <w:t>Adds the caregivers to staff it</w:t>
            </w:r>
          </w:p>
        </w:tc>
        <w:tc>
          <w:tcPr>
            <w:tcW w:type="dxa" w:w="1598"/>
            <w:shd w:val="clear" w:fill="14453F"/>
            <w:tcBorders>
              <w:bottom w:val="single" w:sz="8" w:space="0" w:color="14453F"/>
            </w:tcBorders>
          </w:tcPr>
          <w:p>
            <w:pPr>
              <w:spacing w:after="20" w:before="20"/>
              <w:jc w:val="center"/>
            </w:pPr>
            <w:r/>
            <w:r>
              <w:rPr>
                <w:b/>
                <w:i w:val="0"/>
                <w:color w:val="FFFFFF"/>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the alternatives families use.</w:t>
      </w:r>
    </w:p>
    <w:p>
      <w:pPr>
        <w:jc w:val="both"/>
      </w:pPr>
      <w:r>
        <w:rPr>
          <w:b w:val="0"/>
          <w:i w:val="0"/>
        </w:rPr>
        <w:t xml:space="preserve">Caregiver Staffing faces a different set of incumbents and the same pattern holds. Job boards leave every screening decision to the provider, staffing agencies keep the worker as their own employee, and gig platforms fill a shift without filling a role. All three draw from the same constrained pool of people already in direct care. </w:t>
      </w:r>
      <w:r>
        <w:rPr>
          <w:b/>
          <w:i w:val="0"/>
        </w:rPr>
        <w:t>None of them adds a caregiver to the field,</w:t>
      </w:r>
      <w:r>
        <w:rPr>
          <w:b w:val="0"/>
          <w:i w:val="0"/>
        </w:rPr>
        <w:t xml:space="preserve"> which is the distinction Key Innovation 1 develops.</w:t>
      </w:r>
    </w:p>
    <w:p>
      <w:pPr>
        <w:spacing w:before="120"/>
        <w:jc w:val="both"/>
      </w:pPr>
      <w:r>
        <w:rPr>
          <w:b/>
          <w:i w:val="0"/>
        </w:rPr>
        <w:t>Related development efforts in academia and industry.</w:t>
      </w:r>
      <w:r>
        <w:rPr>
          <w:b w:val="0"/>
          <w:i w:val="0"/>
        </w:rPr>
        <w:t xml:space="preserve"> The relevant science is largely settled and what remains open is operational, which is why this is a commercialization award rather than a trial. Unmet daily-activity needs are established predictors of downstream utilization and placement,</w:t>
      </w:r>
      <w:r>
        <w:rPr>
          <w:b w:val="0"/>
          <w:i w:val="0"/>
          <w:vertAlign w:val="superscript"/>
        </w:rPr>
        <w:t>4,5</w:t>
      </w:r>
      <w:r>
        <w:rPr>
          <w:b w:val="0"/>
          <w:i w:val="0"/>
        </w:rPr>
        <w:t xml:space="preserve"> so we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but none addresses how a family outside a trial finds such support, funds it, and starts it. CareNavigator is the front door those programs assume exists. Studies of digital caregiver tools, four of them our own, establish that such platforms can be built and measured as usable and accepted;</w:t>
      </w:r>
      <w:r>
        <w:rPr>
          <w:b w:val="0"/>
          <w:i w:val="0"/>
          <w:vertAlign w:val="superscript"/>
        </w:rPr>
        <w:t>25,26,27,28</w:t>
      </w:r>
      <w:r>
        <w:rPr>
          <w:b w:val="0"/>
          <w:i w:val="0"/>
        </w:rPr>
        <w:t xml:space="preserve"> what remains open is whether agents can carry a case to a decision. And documented patient-care hours are a requirement for health-professions admission,</w:t>
      </w:r>
      <w:r>
        <w:rPr>
          <w:b w:val="0"/>
          <w:i w:val="0"/>
          <w:vertAlign w:val="superscript"/>
        </w:rPr>
        <w:t>23,24</w:t>
      </w:r>
      <w:r>
        <w:rPr>
          <w:b w:val="0"/>
          <w:i w:val="0"/>
        </w:rPr>
        <w:t xml:space="preserve"> the incentive our workforce pathway uses; whether it converts into durable capacity is what Aim 2 tests.</w:t>
      </w:r>
    </w:p>
    <w:p>
      <w:pPr>
        <w:spacing w:before="120"/>
        <w:jc w:val="both"/>
      </w:pPr>
      <w:r>
        <w:rPr>
          <w:b/>
          <w:i w:val="0"/>
        </w:rPr>
        <w:t>Hurdles to adoption.</w:t>
      </w:r>
      <w:r>
        <w:rPr>
          <w:b w:val="0"/>
          <w:i w:val="0"/>
        </w:rPr>
        <w:t xml:space="preserve"> The primary hurdle is local density at a cost the market sustains: families, providers, and caregivers must concentrate in one market, and that market's revenue must cover the cost of bringing them together. Four hurdles follow, each answered by a named aim. Families must trust an AI system with care decisions, so every answer comes from a database audited by a blinded expert panel in Aim 1, with acceptance measured under IRB approval in Aim 2. Providers are wary of platforms, so Aim 2 gives them the product free and Aim 3 asks a different set of providers to pay only after the value is shown. New caregivers must be safe and welcome, which is why licensed providers employ, train, insure, and supervise them, and why Aim 2 measures the pathway end to end. And every market must repeat affordably, which self-service tools and a documented playbook address, with acquisition cost measured in Aim 2 and re-measured in each Aim 3 wave.</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That makes recruitment structurally inexpensive rather than dependent on wage competition. Health professions confer 263,800 undergraduate degrees a year,</w:t>
      </w:r>
      <w:r>
        <w:rPr>
          <w:b w:val="0"/>
          <w:i w:val="0"/>
          <w:vertAlign w:val="superscript"/>
        </w:rPr>
        <w:t>23</w:t>
      </w:r>
      <w:r>
        <w:rPr>
          <w:b w:val="0"/>
          <w:i w:val="0"/>
        </w:rPr>
        <w:t xml:space="preserve"> entry into nursing, medicine, and physician assistant training turns on documented direct patient care,</w:t>
      </w:r>
      <w:r>
        <w:rPr>
          <w:b w:val="0"/>
          <w:i w:val="0"/>
          <w:vertAlign w:val="superscript"/>
        </w:rPr>
        <w:t>24</w:t>
      </w:r>
      <w:r>
        <w:rPr>
          <w:b w:val="0"/>
          <w:i w:val="0"/>
        </w:rPr>
        <w:t xml:space="preserve"> and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carrying their verified record of hours, competencies, populations served, supervisor evaluations, and credential status across employers. That record does not exist anywhere today. A caregiver who changes employers starts over, and the new employer re-screens work already verified. That layer is what makes any new worker pool viable, and its value compounds with every shift worked. Nothing in it is specific to students: the pathway is population-agnostic by design, and Aim 2 measures it in one market with a health-professions campus nearby and one without, so the dependency is tested rather than assumed.</w:t>
      </w:r>
    </w:p>
    <w:p>
      <w:pPr>
        <w:spacing w:before="12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makes the outcome measurable, makes it saleable to an organization that bears the cost of unmet need, and makes the system improve: every completed case becomes supervised training data for the next. The multi-agent architecture over a retrieval layer with expert feedback was built and evaluated under Phase IIB. What this award adds is execution and confirmation.</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one. The open web holds public directories and program rules. It is often neither accurate nor current, and it is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 across three NIA awards.</w:t>
      </w:r>
    </w:p>
    <w:p>
      <w:pPr>
        <w:jc w:val="both"/>
      </w:pPr>
      <w:r>
        <w:rPr>
          <w:b w:val="0"/>
          <w:i w:val="0"/>
        </w:rPr>
        <w:t xml:space="preserve">Beneath that sits a third layer that can only be learned by operating: what programs actually decide, county by county, where applications stall, whether capacity existed when it was needed, and what care ultimately started. </w:t>
      </w:r>
      <w:r>
        <w:rPr>
          <w:b/>
          <w:i w:val="0"/>
        </w:rPr>
        <w:t>No public dataset holds it.</w:t>
      </w:r>
      <w:r>
        <w:rPr>
          <w:b w:val="0"/>
          <w:i w:val="0"/>
        </w:rPr>
        <w:t xml:space="preserve"> NHATS is a survey. Claims data record what was billed, not what was needed and refused. Neither observes the interval between a family recognizing a need and care beginning, which is the interval in which the system fails them.</w:t>
      </w:r>
    </w:p>
    <w:p>
      <w:pPr>
        <w:jc w:val="both"/>
      </w:pPr>
      <w:r>
        <w:rPr>
          <w:b w:val="0"/>
          <w:i w:val="0"/>
        </w:rPr>
        <w:t xml:space="preserve">Execution is what produces that layer. An agent that files an application and follows it to a decision records the decision; a placement that runs to a first confirmed shift records whether capacity existed.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and the gap widens with every case we complete. Its scientific value is that the measurement does not exist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builds two products, CareNavigator and Caregiver Staffing, and during this award only Caregiver Staffing is sold and priced. Everything that could be established without customers has been (Table 6). One question remains, and it is not a research question. </w:t>
      </w:r>
      <w:r>
        <w:rPr>
          <w:b/>
          <w:i w:val="0"/>
        </w:rPr>
        <w:t>Can a single local market pay for itself, and can we repeat it?</w:t>
      </w:r>
    </w:p>
    <w:p>
      <w:pPr>
        <w:jc w:val="both"/>
      </w:pPr>
      <w:r>
        <w:rPr>
          <w:b w:val="0"/>
          <w:i w:val="0"/>
        </w:rPr>
        <w:t>The award answers that in three stages (Figure 4).</w:t>
      </w:r>
    </w:p>
    <w:p>
      <w:pPr>
        <w:keepNext/>
        <w:spacing w:before="80" w:after="40"/>
        <w:jc w:val="center"/>
      </w:pPr>
      <w:r>
        <w:drawing>
          <wp:inline xmlns:a="http://schemas.openxmlformats.org/drawingml/2006/main" xmlns:pic="http://schemas.openxmlformats.org/drawingml/2006/picture">
            <wp:extent cx="6035040" cy="242743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035040" cy="2427434"/>
                    </a:xfrm>
                    <a:prstGeom prst="rect"/>
                  </pic:spPr>
                </pic:pic>
              </a:graphicData>
            </a:graphic>
          </wp:inline>
        </w:drawing>
      </w:r>
    </w:p>
    <w:p>
      <w:pPr>
        <w:spacing w:after="80"/>
        <w:jc w:val="left"/>
      </w:pPr>
      <w:r>
        <w:rPr>
          <w:b/>
          <w:i w:val="0"/>
          <w:sz w:val="18"/>
        </w:rPr>
        <w:t>Figure 4.</w:t>
      </w:r>
      <w:r>
        <w:rPr>
          <w:b w:val="0"/>
          <w:i w:val="0"/>
          <w:sz w:val="18"/>
        </w:rPr>
        <w:t xml:space="preserve"> The three aims as one sequence. Each stage carries a gate, and Aim 2 produces every parameter that Aim 3 prices against.</w:t>
      </w:r>
    </w:p>
    <w:p>
      <w:pPr>
        <w:jc w:val="both"/>
      </w:pPr>
      <w:r>
        <w:rPr>
          <w:b w:val="0"/>
          <w:i w:val="0"/>
        </w:rPr>
        <w:t xml:space="preserve">The sequence is the design, not a schedule. </w:t>
      </w:r>
      <w:r>
        <w:rPr>
          <w:b/>
          <w:i w:val="0"/>
        </w:rPr>
        <w:t>Every parameter Aim 3 prices against is produced by Aim 2 at no commercial risk</w:t>
      </w:r>
      <w:r>
        <w:rPr>
          <w:b w:val="0"/>
          <w:i w:val="0"/>
        </w:rPr>
        <w:t>, as Figure 4 sets out. Aim 3 is Aim 2 run larger, in markets we did not design in, with money changing hands. Each stage carries a gate, so a failure stops rather than spreads: if Aim 1 misses verification, no market activates; if Aim 2 misses establishment, wave one is held.</w:t>
      </w:r>
    </w:p>
    <w:p>
      <w:pPr>
        <w:jc w:val="both"/>
      </w:pPr>
      <w:r>
        <w:rPr>
          <w:b w:val="0"/>
          <w:i w:val="0"/>
        </w:rPr>
        <w:t>Primary endpoints are operational or economic and come from platform, billing, payroll, and employment records. Human subjects research sits inside the aims as Tasks 2.3, 2.5, and 3.4, under Clemson University IRB approval with Dr. Fan as protocol lead. Consent, privacy, data security, and risk assessment for all three studies are detailed in the PHS Human Subjects and Clinical Trials Information form. The project is not a clinical trial: no participant is assigned to receive or withhold navigation, health-related outcomes appear only as secondary observational measures on a cohort that all receives the service, and the Aim 3 price conditions are assigned to markets with purchase as the outcome. Determinations will be obtained rather than assumed, including for the streams we expect to be non-human-subjects research, and the commitment to publish from the outcomes record is honored under an approved protocol or from a de-identified dataset.</w:t>
      </w:r>
    </w:p>
    <w:p>
      <w:pPr>
        <w:spacing w:before="120"/>
        <w:jc w:val="both"/>
      </w:pPr>
      <w:r>
        <w:rPr>
          <w:b/>
          <w:i w:val="0"/>
        </w:rPr>
        <w:t>Who participates, and who does not.</w:t>
      </w:r>
      <w:r>
        <w:rPr>
          <w:b w:val="0"/>
          <w:i w:val="0"/>
        </w:rPr>
        <w:t xml:space="preserve"> Participants in all three studies are adults 18 or older in one of three roles: family caregivers arranging care, provider decision-makers and staff, and placed caregivers. Children are excluded because the questions concern adults who arrange, buy, or deliver eldercare. The older adults receiving care are the beneficiaries but are not enrolled. Dementia caregiving is done predominantly by women, and the Task 2.3 sample will reflect that rather than correct it, because the question is whether the product works for the people who actually do this work. Recruitment targets at least the racial and ethnic composition of the two markets, so that what we learn describes the population the product will serve rather than the part of it easiest to reach. Enrollment targets by sex, race, ethnicity, and age appear in the PHS Inclusion Enrollment Report.</w:t>
      </w:r>
    </w:p>
    <w:p>
      <w:pPr>
        <w:spacing w:before="120"/>
        <w:jc w:val="both"/>
      </w:pPr>
      <w:r>
        <w:rPr>
          <w:b/>
          <w:i w:val="0"/>
        </w:rPr>
        <w:t>Ten markets, and why that number.</w:t>
      </w:r>
      <w:r>
        <w:rPr>
          <w:b w:val="0"/>
          <w:i w:val="0"/>
        </w:rPr>
        <w:t xml:space="preserve"> The count follows from what each aim has to measure. Two free markets, because one cannot separate a product that works from a market that happens to work, and the two differ on workforce source so the campus dependency is tested while it is still free to learn. Then eight paid markets: four price points, because two would show the direction of demand and four show the shape of the curve; two markets per point, because price is assigned by market and one market per arm means the arm is a market; and within each pair one market has a health-professions campus nearby and one does not, so price is crossed with workforce source rather than confounded with it. They open in two waves of four, the first early enough to observe 12-month retention and the second run as written by staff who did not design it. At roughly $30,000 to enter a market, ten markets is about $300,000, or under eight percent of the $4 million requested; the binding constraint is operating attention, not capital.</w:t>
      </w:r>
    </w:p>
    <w:p>
      <w:pPr>
        <w:spacing w:before="180" w:after="60"/>
        <w:jc w:val="left"/>
        <w:keepNext/>
        <w:pBdr>
          <w:bottom w:val="single" w:sz="6" w:space="2" w:color="14453F"/>
        </w:pBdr>
      </w:pPr>
      <w:r>
        <w:rPr>
          <w:b/>
          <w:i w:val="0"/>
          <w:color w:val="14453F"/>
        </w:rPr>
        <w:t>Specific Aim 1: Engineer the technology and infrastructure both products require.</w:t>
      </w:r>
      <w:r>
        <w:rPr>
          <w:b/>
          <w:i w:val="0"/>
          <w:color w:val="14453F"/>
        </w:rPr>
        <w:t xml:space="preserve"> </w:t>
      </w:r>
      <w:r>
        <w:rPr>
          <w:b/>
          <w:i/>
          <w:color w:val="14453F"/>
        </w:rPr>
        <w:t>(Year 1)</w:t>
      </w:r>
    </w:p>
    <w:p>
      <w:pPr>
        <w:jc w:val="both"/>
      </w:pPr>
      <w:r>
        <w:rPr>
          <w:b w:val="0"/>
          <w:i w:val="0"/>
        </w:rPr>
        <w:t>Phase IIB built identification. This aim builds execution, the workforce infrastructure, and the data layer underneath both, and proves the output is good enough to put in front of families before any market opens.</w:t>
      </w:r>
    </w:p>
    <w:p>
      <w:pPr>
        <w:spacing w:before="120"/>
        <w:jc w:val="both"/>
      </w:pPr>
      <w:r>
        <w:rPr>
          <w:b/>
          <w:i w:val="0"/>
        </w:rPr>
        <w:t>Task 1.1: Execution and follow-up, across aid and services.</w:t>
      </w:r>
      <w:r>
        <w:rPr>
          <w:b w:val="0"/>
          <w:i w:val="0"/>
        </w:rPr>
        <w:t xml:space="preserve"> CareNavigator today screens a household and identifies the aid and services it qualifies for. That much runs nationally. The execution loop is in development and the follow-up loop does not exist. This task builds both. Families are lost at the same two points whether they are securing a benefit or securing care: while assembling what is required, and again while waiting for an answer. For aid, the loops assemble and submit applications, track each program's documentation, and follow the case to a decision. For services the same pattern meets a different counterparty: send the intake packet, schedule the assessment, follow up with more than one provider so a single decline does not end the case, and confirm the date care began. Nothing is transmitted without the family's approval.</w:t>
      </w:r>
    </w:p>
    <w:p>
      <w:pPr>
        <w:spacing w:before="120"/>
        <w:jc w:val="both"/>
      </w:pPr>
      <w:r>
        <w:rPr>
          <w:b/>
          <w:i w:val="0"/>
        </w:rPr>
        <w:t>Task 1.2: The aid, provider, and outcomes database, and the domain model built on it.</w:t>
      </w:r>
      <w:r>
        <w:rPr>
          <w:b w:val="0"/>
          <w:i w:val="0"/>
        </w:rPr>
        <w:t xml:space="preserve"> The curated record of more than 72,000 aid programs and providers is expanded and re-verified on a rolling schedule, so accuracy does not decay as program rules change. New instrumentation captures what each completed case decided: what was applied for, what was approved or denied, how long it took, and what care started. Model development continues the Phase IIB retrieval-augmented and expert-feedback methods, now over a record that includes outcomes rather than rules alone.</w:t>
      </w:r>
    </w:p>
    <w:p>
      <w:pPr>
        <w:spacing w:before="120"/>
        <w:jc w:val="both"/>
      </w:pPr>
      <w:r>
        <w:rPr>
          <w:b/>
          <w:i w:val="0"/>
        </w:rPr>
        <w:t>Task 1.3: Caregiver workforce infrastructure and the verified experience record.</w:t>
      </w:r>
      <w:r>
        <w:rPr>
          <w:b w:val="0"/>
          <w:i w:val="0"/>
        </w:rPr>
        <w:t xml:space="preserve"> Recruitment and screening workflows, training tracking, and the provider-facing placement interface, replacing the manual delivery that capped the pilot. The verified record accumulates hours, competencies, populations served, supervisor evaluations, and credential status, and travels with the worker to any licensed employer.</w:t>
      </w:r>
    </w:p>
    <w:p>
      <w:pPr>
        <w:spacing w:before="120"/>
        <w:jc w:val="both"/>
      </w:pPr>
      <w:r>
        <w:rPr>
          <w:b/>
          <w:i w:val="0"/>
        </w:rPr>
        <w:t>Task 1.4: Verification against blinded expert review.</w:t>
      </w:r>
      <w:r>
        <w:rPr>
          <w:b w:val="0"/>
          <w:i w:val="0"/>
        </w:rPr>
        <w:t xml:space="preserve"> A panel of licensed clinical social workers, independent of the engineering team and holding no equity in Olera, audits a stratified random sample of 60 cases in each of the two quarters before the month 12 gate, 120 in all, which sizes cumulative agreement to a 95 percent half-width of about 6 points. The audit then repeats annually, so accuracy is re-established as the system and the underlying program rules change. The panel determines eligibility blinded to what the platform produced and, for a subset, prepares the applications by hand. Both are compared with the platform's output, category by category for eligibility and field by field for applications, and agreement is reported as percent agreement with a 95 percent confidence interval and as Cohen's kappa. Inter-rater reliability among panelists is established before any system output is adjudicated, so panel disagreement is not mistaken for system error. Every material error is reviewed rather than sampled and confirmed by a second reader, and audited households are held out of tuning data. This is internal product verification, not human subjects research, and a determination will be obtained.</w:t>
      </w:r>
    </w:p>
    <w:p>
      <w:pPr>
        <w:spacing w:before="120"/>
        <w:jc w:val="both"/>
      </w:pPr>
      <w:r>
        <w:rPr>
          <w:b/>
          <w:i w:val="0"/>
        </w:rPr>
        <w:t>Task 1.5: Market selection and preparation.</w:t>
      </w:r>
      <w:r>
        <w:rPr>
          <w:b w:val="0"/>
          <w:i w:val="0"/>
        </w:rPr>
        <w:t xml:space="preserve"> Markets are ranked on existing organic family traffic, provider density, what a household can secure under that state's aid rules, and proximity to a health-professions campus. The two Aim 2 markets are selected from that ranking, with partnerships in place before activation. Year 1 ends with markets ready, not software alone, so the month 12 gate is a launch decision.</w:t>
      </w:r>
    </w:p>
    <w:p>
      <w:pPr>
        <w:spacing w:before="120"/>
        <w:jc w:val="both"/>
      </w:pPr>
      <w:r>
        <w:rPr>
          <w:b/>
          <w:i w:val="0"/>
        </w:rPr>
        <w:t>What completing Aim 1 delivers.</w:t>
      </w:r>
      <w:r>
        <w:rPr>
          <w:b w:val="0"/>
          <w:i w:val="0"/>
        </w:rPr>
        <w:t xml:space="preserve"> A product whose output has been checked against blinded expert review, and two markets ready to open. Without it we would be piloting something we had not verified, which is the mistake this award exists to avoid making at scale.</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120 audited cases before the gate,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Internal release testing</w:t>
            </w:r>
          </w:p>
        </w:tc>
      </w:tr>
      <w:tr>
        <w:tc>
          <w:tcPr>
            <w:tcW w:type="dxa" w:w="4644"/>
            <w:tcBorders>
              <w:bottom w:val="single" w:sz="2" w:space="0" w:color="B9C4BD"/>
            </w:tcBorders>
          </w:tcPr>
          <w:p>
            <w:pPr>
              <w:spacing w:after="20" w:before="20"/>
              <w:jc w:val="left"/>
            </w:pPr>
            <w:r/>
            <w:r>
              <w:rPr>
                <w:b w:val="0"/>
                <w:i w:val="0"/>
                <w:sz w:val="18"/>
              </w:rPr>
              <w:t>Prepared workflows carrying a current state and a next step</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2" w:space="0" w:color="B9C4BD"/>
            </w:tcBorders>
          </w:tcPr>
          <w:p>
            <w:pPr>
              <w:spacing w:after="20" w:before="20"/>
              <w:jc w:val="left"/>
            </w:pPr>
            <w:r/>
            <w:r>
              <w:rPr>
                <w:b w:val="0"/>
                <w:i w:val="0"/>
                <w:sz w:val="18"/>
              </w:rPr>
              <w:t>Applications transmitted without family approval</w:t>
            </w:r>
          </w:p>
        </w:tc>
        <w:tc>
          <w:tcPr>
            <w:tcW w:type="dxa" w:w="2052"/>
            <w:tcBorders>
              <w:bottom w:val="single" w:sz="2" w:space="0" w:color="B9C4BD"/>
            </w:tcBorders>
          </w:tcPr>
          <w:p>
            <w:pPr>
              <w:spacing w:after="20" w:before="20"/>
              <w:jc w:val="right"/>
            </w:pPr>
            <w:r/>
            <w:r>
              <w:rPr>
                <w:b w:val="0"/>
                <w:i w:val="0"/>
                <w:sz w:val="18"/>
              </w:rPr>
              <w:t>0</w:t>
            </w:r>
          </w:p>
        </w:tc>
        <w:tc>
          <w:tcPr>
            <w:tcW w:type="dxa" w:w="4104"/>
            <w:tcBorders>
              <w:bottom w:val="single" w:sz="2" w:space="0" w:color="B9C4BD"/>
            </w:tcBorders>
          </w:tcPr>
          <w:p>
            <w:pPr>
              <w:spacing w:after="20" w:before="20"/>
              <w:jc w:val="left"/>
            </w:pPr>
            <w:r/>
            <w:r>
              <w:rPr>
                <w:b w:val="0"/>
                <w:i w:val="0"/>
                <w:sz w:val="18"/>
              </w:rPr>
              <w:t>Platform audit log</w:t>
            </w:r>
          </w:p>
        </w:tc>
      </w:tr>
      <w:tr>
        <w:tc>
          <w:tcPr>
            <w:tcW w:type="dxa" w:w="4644"/>
            <w:tcBorders>
              <w:bottom w:val="single" w:sz="2" w:space="0" w:color="B9C4BD"/>
            </w:tcBorders>
          </w:tcPr>
          <w:p>
            <w:pPr>
              <w:spacing w:after="20" w:before="20"/>
              <w:jc w:val="left"/>
            </w:pPr>
            <w:r/>
            <w:r>
              <w:rPr>
                <w:b w:val="0"/>
                <w:i w:val="0"/>
                <w:sz w:val="18"/>
              </w:rPr>
              <w:t>Escalations reaching a navigator or named local agency</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Escalation log</w:t>
            </w:r>
          </w:p>
        </w:tc>
      </w:tr>
      <w:tr>
        <w:tc>
          <w:tcPr>
            <w:tcW w:type="dxa" w:w="4644"/>
            <w:tcBorders>
              <w:bottom w:val="single" w:sz="2" w:space="0" w:color="B9C4BD"/>
            </w:tcBorders>
          </w:tcPr>
          <w:p>
            <w:pPr>
              <w:spacing w:after="20" w:before="20"/>
              <w:jc w:val="left"/>
            </w:pPr>
            <w:r/>
            <w:r>
              <w:rPr>
                <w:b w:val="0"/>
                <w:i w:val="0"/>
                <w:sz w:val="18"/>
              </w:rPr>
              <w:t>Scheduled follow-ups sent on their due date, every miss logged</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8" w:space="0" w:color="14453F"/>
            </w:tcBorders>
          </w:tcPr>
          <w:p>
            <w:pPr>
              <w:spacing w:after="20" w:before="20"/>
              <w:jc w:val="left"/>
            </w:pPr>
            <w:r/>
            <w:r>
              <w:rPr>
                <w:b w:val="0"/>
                <w:i w:val="0"/>
                <w:sz w:val="18"/>
              </w:rPr>
              <w:t>Verified experience record populated for every placement</w:t>
            </w:r>
          </w:p>
        </w:tc>
        <w:tc>
          <w:tcPr>
            <w:tcW w:type="dxa" w:w="2052"/>
            <w:tcBorders>
              <w:bottom w:val="single" w:sz="8" w:space="0" w:color="14453F"/>
            </w:tcBorders>
          </w:tcPr>
          <w:p>
            <w:pPr>
              <w:spacing w:after="20" w:before="20"/>
              <w:jc w:val="right"/>
            </w:pPr>
            <w:r/>
            <w:r>
              <w:rPr>
                <w:b w:val="0"/>
                <w:i w:val="0"/>
                <w:sz w:val="18"/>
              </w:rPr>
              <w:t>100%</w:t>
            </w:r>
          </w:p>
        </w:tc>
        <w:tc>
          <w:tcPr>
            <w:tcW w:type="dxa" w:w="4104"/>
            <w:tcBorders>
              <w:bottom w:val="single" w:sz="8" w:space="0" w:color="14453F"/>
            </w:tcBorders>
          </w:tcPr>
          <w:p>
            <w:pPr>
              <w:spacing w:after="20" w:before="20"/>
              <w:jc w:val="left"/>
            </w:pPr>
            <w:r/>
            <w:r>
              <w:rPr>
                <w:b w:val="0"/>
                <w:i w:val="0"/>
                <w:sz w:val="18"/>
              </w:rPr>
              <w:t>Workforce system</w:t>
            </w:r>
          </w:p>
        </w:tc>
      </w:tr>
    </w:tbl>
    <w:p>
      <w:pPr>
        <w:spacing w:after="80"/>
        <w:jc w:val="left"/>
      </w:pPr>
      <w:r>
        <w:rPr>
          <w:b/>
          <w:i w:val="0"/>
          <w:sz w:val="18"/>
        </w:rPr>
        <w:t>Table 3.</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20"/>
        <w:jc w:val="both"/>
      </w:pPr>
      <w:r>
        <w:rPr>
          <w:b/>
          <w:i w:val="0"/>
        </w:rPr>
        <w:t>Potential problems and alternative strategies.</w:t>
      </w:r>
      <w:r>
        <w:rPr>
          <w:b w:val="0"/>
          <w:i w:val="0"/>
        </w:rPr>
        <w:t xml:space="preserve"> Program rules change during a three-year award and would degrade accuracy through no fault of the system. The re-verification schedule in Task 1.2 addresses this, and accuracy is reported separately for rules that changed inside the measurement window. If agreement stalls below the gate, we narrow scope rather than widen it: automated execution is restricted to the categories where accuracy is highest, the remainder routed to human-assisted execution, and the boundary reported rather than averaged away. Aim 2 activation is held until the gate is met.</w:t>
      </w:r>
    </w:p>
    <w:p>
      <w:pPr>
        <w:spacing w:before="180" w:after="60"/>
        <w:jc w:val="left"/>
        <w:keepNext/>
        <w:pBdr>
          <w:bottom w:val="single" w:sz="6" w:space="2" w:color="14453F"/>
        </w:pBdr>
      </w:pPr>
      <w:r>
        <w:rPr>
          <w:b/>
          <w:i w:val="0"/>
          <w:color w:val="14453F"/>
        </w:rPr>
        <w:t>Specific Aim 2: Pilot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every parameter Aim 3 needs in order to price is measured here first.</w:t>
      </w:r>
    </w:p>
    <w:p>
      <w:pPr>
        <w:spacing w:before="120"/>
        <w:jc w:val="both"/>
      </w:pPr>
      <w:r>
        <w:rPr>
          <w:b/>
          <w:i w:val="0"/>
        </w:rPr>
        <w:t>Task 2.1: Activate two markets.</w:t>
      </w:r>
      <w:r>
        <w:rPr>
          <w:b w:val="0"/>
          <w:i w:val="0"/>
        </w:rPr>
        <w:t xml:space="preserve"> The two markets selected in Task 1.5 open, one with a health-professions campus nearby and one without. Families arrive through organic search, local partners, and direct outreach. Providers come from the onboarded base and direct outreach and are offered both products at no cost, grandfathered for the life of the award, so no pilot provider faces a purchase decision that could color the answers they give here and Aim 3 tests price only on customers who were never given anything free. Every activation is tagged by source, market, and cohort.</w:t>
      </w:r>
    </w:p>
    <w:p>
      <w:pPr>
        <w:spacing w:before="120"/>
        <w:jc w:val="both"/>
      </w:pPr>
      <w:r>
        <w:rPr>
          <w:b/>
          <w:i w:val="0"/>
        </w:rPr>
        <w:t>Task 2.2: Measure care establishment.</w:t>
      </w:r>
      <w:r>
        <w:rPr>
          <w:b w:val="0"/>
          <w:i w:val="0"/>
        </w:rPr>
        <w:t xml:space="preserve"> Each household is followed from screening through the identified aid and services to a confirmed start date, with the step at which any household stops recorded. Enrollment is set at 400 households across the two markets, which sizes the establishment proportion to a 95 percent confidence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 outcome counts once, and every count is reconciled against the outside record of the same event. This is platform telemetry, not human subjects research.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 Producing that number is itself one of the things this award delivers.</w:t>
      </w:r>
    </w:p>
    <w:p>
      <w:pPr>
        <w:spacing w:before="120"/>
        <w:jc w:val="both"/>
      </w:pPr>
      <w:r>
        <w:rPr>
          <w:b/>
          <w:i w:val="0"/>
        </w:rPr>
        <w:t>Task 2.3: Validate CareNavigator with family caregivers.</w:t>
      </w:r>
      <w:r>
        <w:rPr>
          <w:b w:val="0"/>
          <w:i w:val="0"/>
        </w:rPr>
        <w:t xml:space="preserve"> </w:t>
      </w:r>
      <w:r>
        <w:rPr>
          <w:b w:val="0"/>
          <w:i/>
        </w:rPr>
        <w:t>(Human subjects research; Clemson University IRB.)</w:t>
      </w:r>
      <w:r>
        <w:rPr>
          <w:b w:val="0"/>
          <w:i w:val="0"/>
        </w:rPr>
        <w:t xml:space="preserve"> Twenty-five family caregivers of people living with dementia complete a mixed-methods evaluation of the integrated product, following the User Experience Evaluation in Intelligent Environments framework. Participants are adults caring for a person living with Alzheimer's disease or a related dementia and involved in arranging or paying for that care, recruited from aging and caregiving organizations and our own community, sampled to reflect the range of our users. </w:t>
      </w:r>
      <w:r>
        <w:rPr>
          <w:b w:val="0"/>
          <w:i/>
        </w:rPr>
        <w:t>Sample size.</w:t>
      </w:r>
      <w:r>
        <w:rPr>
          <w:b w:val="0"/>
          <w:i w:val="0"/>
        </w:rPr>
        <w:t xml:space="preserve">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set in advance, time on task, errors, and assists. Post-use measures are the System Usability Scale and the 12-item trust-in-automation scale, followed by an interview on where the system lost them. Surveys at four weeks and three months record whether the participant reached aid or care. Transcripts are analyzed thematically against a shared codebook by two independent coders with inter-coder agreement reported, and against the COREQ checklist. Findings are integrated in a joint display and converted into an engineering backlog that must clear before the month 21 gate.</w:t>
      </w:r>
    </w:p>
    <w:p>
      <w:pPr>
        <w:spacing w:before="120"/>
        <w:jc w:val="both"/>
      </w:pPr>
      <w:r>
        <w:rPr>
          <w:b/>
          <w:i w:val="0"/>
        </w:rPr>
        <w:t>Task 2.4: Recruit, place, and retain caregivers.</w:t>
      </w:r>
      <w:r>
        <w:rPr>
          <w:b w:val="0"/>
          <w:i w:val="0"/>
        </w:rPr>
        <w:t xml:space="preserve"> Recruitment runs through campus advisors, health-professions organizations, and community channels. Prior direct-care employment is ascertained at intake, before placement, so the share of workers new to the field is measured rather than inferred. Each placement is timestamped from application through screening, interview, hire, and first confirmed shift, which yields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 </w:t>
      </w:r>
      <w:r>
        <w:rPr>
          <w:b/>
          <w:i w:val="0"/>
        </w:rPr>
        <w:t>The month 21 gate requires half of the Aim 2 placements still in direct care at 90 days.</w:t>
      </w:r>
      <w:r>
        <w:rPr>
          <w:b w:val="0"/>
          <w:i w:val="0"/>
        </w:rPr>
        <w:t xml:space="preserve"> Below that, a provider replaces half of what they bought within a quarter and pays twice for one hire, which is the point at which this stops being cheaper than what they do now.</w:t>
      </w:r>
    </w:p>
    <w:p>
      <w:pPr>
        <w:spacing w:before="120"/>
        <w:jc w:val="both"/>
      </w:pPr>
      <w:r>
        <w:rPr>
          <w:b/>
          <w:i w:val="0"/>
        </w:rPr>
        <w:t>Task 2.5: Validate the staffing product with providers and workers.</w:t>
      </w:r>
      <w:r>
        <w:rPr>
          <w:b w:val="0"/>
          <w:i w:val="0"/>
        </w:rPr>
        <w:t xml:space="preserve"> </w:t>
      </w:r>
      <w:r>
        <w:rPr>
          <w:b w:val="0"/>
          <w:i/>
        </w:rPr>
        <w:t>(Human subjects research; Clemson University IRB.)</w:t>
      </w:r>
      <w:r>
        <w:rPr>
          <w:b w:val="0"/>
          <w:i w:val="0"/>
        </w:rPr>
        <w:t xml:space="preserve"> A sequential mixed-methods implementation study in two phases. </w:t>
      </w:r>
      <w:r>
        <w:rPr>
          <w:b w:val="0"/>
          <w:i/>
        </w:rPr>
        <w:t>Formative phase.</w:t>
      </w:r>
      <w:r>
        <w:rPr>
          <w:b w:val="0"/>
          <w:i w:val="0"/>
        </w:rPr>
        <w:t xml:space="preserve"> Approximately 30 provider participants across owner, recruiter, and scheduler roles and approximately 20 placed workers complete role-specific tasks against criteria set in advance, then an interview on workflow fit, supervision, training needs, and priorities for improvement. That target gives at least five users per role, consistent with problem-discovery guidance, and recruitment continues in small batches until two consecutive batches raise no new high-priority issue. </w:t>
      </w:r>
      <w:r>
        <w:rPr>
          <w:b w:val="0"/>
          <w:i/>
        </w:rPr>
        <w:t>Field phase.</w:t>
      </w:r>
      <w:r>
        <w:rPr>
          <w:b w:val="0"/>
          <w:i w:val="0"/>
        </w:rPr>
        <w:t xml:space="preserve"> The refined product runs through live semester cohorts in both markets, following approximately 60 provider accounts and approximately 100 placed workers for three months, with a 20 percent attrition allowance. </w:t>
      </w:r>
      <w:r>
        <w:rPr>
          <w:b w:val="0"/>
          <w:i/>
        </w:rPr>
        <w:t>Measures and analysis.</w:t>
      </w:r>
      <w:r>
        <w:rPr>
          <w:b w:val="0"/>
          <w:i w:val="0"/>
        </w:rPr>
        <w:t xml:space="preserve"> The System Usability Scale is the primary usability outcome;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is a reporting stratum rather than a model term. Estimates carry 95 percent confidence intervals and are implementation estimates, not between-group tests. Interviews follow a guide informed by the Consolidated Framework for Implementation Research and are analyzed by two analysts in a framework matrix with an audit trail. </w:t>
      </w:r>
      <w:r>
        <w:rPr>
          <w:b w:val="0"/>
          <w:i/>
        </w:rPr>
        <w:t>Safeguards.</w:t>
      </w:r>
      <w:r>
        <w:rPr>
          <w:b w:val="0"/>
          <w:i w:val="0"/>
        </w:rPr>
        <w:t xml:space="preserve"> Research participation is separated from employment decisions, shift allocation, and any commercial conversation; worker responses are not shared with employers; and withdrawal affects neither platform access nor placement. A stated-preference component, run apart from sales, seeds the price range Aim 3 tests.</w:t>
      </w:r>
    </w:p>
    <w:p>
      <w:pPr>
        <w:spacing w:before="120"/>
        <w:jc w:val="both"/>
      </w:pPr>
      <w:r>
        <w:rPr>
          <w:b/>
          <w:i w:val="0"/>
        </w:rPr>
        <w:t>Task 2.6: Measure cost to acquire and cost to serve.</w:t>
      </w:r>
      <w:r>
        <w:rPr>
          <w:b w:val="0"/>
          <w:i w:val="0"/>
        </w:rPr>
        <w:t xml:space="preserve"> Acquisition cost is measured per family and per provider by channel and market. Each channel runs under a budget, an attribution window, a cost ceiling, and a decision rule set in advance; channels that miss their ceiling are closed rather than carried. Cost to serve is measured per established case and per placed worker by time-driven activity-based costing over agent compute, messages sent, navigator time, and support time. Both formulas are fixed before measurement begins and both read from live records. These figures are the denominators of every economic claim in Aim 3.</w:t>
      </w:r>
    </w:p>
    <w:p>
      <w:pPr>
        <w:spacing w:before="120"/>
        <w:jc w:val="both"/>
      </w:pPr>
      <w:r>
        <w:rPr>
          <w:b/>
          <w:i w:val="0"/>
        </w:rPr>
        <w:t>What completing Aim 2 delivers.</w:t>
      </w:r>
      <w:r>
        <w:rPr>
          <w:b w:val="0"/>
          <w:i w:val="0"/>
        </w:rPr>
        <w:t xml:space="preserve"> Every number Aim 3 prices against, produced before any money changes hands, and a written market-entry playbook. That is what turns a product that works into a business someone outside the company can underwrite.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2.2</w:t>
            </w:r>
          </w:p>
        </w:tc>
      </w:tr>
      <w:tr>
        <w:tc>
          <w:tcPr>
            <w:tcW w:type="dxa" w:w="4644"/>
            <w:tcBorders>
              <w:bottom w:val="single" w:sz="2" w:space="0" w:color="B9C4BD"/>
            </w:tcBorders>
          </w:tcPr>
          <w:p>
            <w:pPr>
              <w:spacing w:after="20" w:before="20"/>
              <w:jc w:val="left"/>
            </w:pPr>
            <w:r/>
            <w:r>
              <w:rPr>
                <w:b w:val="0"/>
                <w:i w:val="0"/>
                <w:sz w:val="18"/>
              </w:rPr>
              <w:t>Outcome ascertainment at the pre-specified, category-specific window</w:t>
            </w:r>
          </w:p>
        </w:tc>
        <w:tc>
          <w:tcPr>
            <w:tcW w:type="dxa" w:w="2052"/>
            <w:tcBorders>
              <w:bottom w:val="single" w:sz="2" w:space="0" w:color="B9C4BD"/>
            </w:tcBorders>
          </w:tcPr>
          <w:p>
            <w:pPr>
              <w:spacing w:after="20" w:before="20"/>
              <w:jc w:val="right"/>
            </w:pPr>
            <w:r/>
            <w:r>
              <w:rPr>
                <w:b w:val="0"/>
                <w:i w:val="0"/>
                <w:sz w:val="18"/>
              </w:rPr>
              <w:t>≥ 80%</w:t>
            </w:r>
          </w:p>
        </w:tc>
        <w:tc>
          <w:tcPr>
            <w:tcW w:type="dxa" w:w="4104"/>
            <w:tcBorders>
              <w:bottom w:val="single" w:sz="2" w:space="0" w:color="B9C4BD"/>
            </w:tcBorders>
          </w:tcPr>
          <w:p>
            <w:pPr>
              <w:spacing w:after="20" w:before="20"/>
              <w:jc w:val="left"/>
            </w:pPr>
            <w:r/>
            <w:r>
              <w:rPr>
                <w:b w:val="0"/>
                <w:i w:val="0"/>
                <w:sz w:val="18"/>
              </w:rPr>
              <w:t>Task 2.2</w:t>
            </w:r>
          </w:p>
        </w:tc>
      </w:tr>
      <w:tr>
        <w:tc>
          <w:tcPr>
            <w:tcW w:type="dxa" w:w="4644"/>
            <w:tcBorders>
              <w:bottom w:val="single" w:sz="2" w:space="0" w:color="B9C4BD"/>
            </w:tcBorders>
          </w:tcPr>
          <w:p>
            <w:pPr>
              <w:spacing w:after="20" w:before="20"/>
              <w:jc w:val="left"/>
            </w:pPr>
            <w:r/>
            <w:r>
              <w:rPr>
                <w:b w:val="0"/>
                <w:i w:val="0"/>
                <w:sz w:val="18"/>
              </w:rPr>
              <w:t>Task completion, with drop-off per step, held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2.2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2.3, IRB, n = 25</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2.3,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2.4</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2.5,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2.6, time-driven activity-based costing</w:t>
            </w:r>
          </w:p>
        </w:tc>
      </w:tr>
    </w:tbl>
    <w:p>
      <w:pPr>
        <w:spacing w:after="80"/>
        <w:jc w:val="left"/>
      </w:pPr>
      <w:r>
        <w:rPr>
          <w:b/>
          <w:i w:val="0"/>
          <w:sz w:val="18"/>
        </w:rPr>
        <w:t>Table 4.</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20"/>
        <w:jc w:val="both"/>
      </w:pPr>
      <w:r>
        <w:rPr>
          <w:b/>
          <w:i w:val="0"/>
        </w:rPr>
        <w:t xml:space="preserve">Potential problems and alternative strategies.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Two responses are set in advance. Retention is reported both with the placing provider and in direct care with any licensed employer, because those answer different questions and only the second speaks to capacity added. If retention with the placing provider is poor while workforce retention holds, the product emphasis shifts from placement to the verified record itself, which providers value as reduced screening burden. Campus seasonality could open hiring gaps between terms, so cohorts are staggered across the two markets. If the market without a campus produces no caregivers, that is a finding rather than a loss: the family side continues there and Aim 3's market selection is revised toward the conditions that worked, with the boundary stated. If family volume is too low for providers to experience value, family acquisition is reallocated before any provider-side conclusion is drawn.</w:t>
      </w:r>
    </w:p>
    <w:p>
      <w:pPr>
        <w:spacing w:before="180" w:after="60"/>
        <w:jc w:val="left"/>
        <w:keepNext/>
        <w:pBdr>
          <w:bottom w:val="single" w:sz="6" w:space="2" w:color="14453F"/>
        </w:pBdr>
      </w:pPr>
      <w:r>
        <w:rPr>
          <w:b/>
          <w:i w:val="0"/>
          <w:color w:val="14453F"/>
        </w:rPr>
        <w:t>Specific Aim 3: Pilot the paid products in eight new markets.</w:t>
      </w:r>
      <w:r>
        <w:rPr>
          <w:b/>
          <w:i w:val="0"/>
          <w:color w:val="14453F"/>
        </w:rPr>
        <w:t xml:space="preserve"> </w:t>
      </w:r>
      <w:r>
        <w:rPr>
          <w:b/>
          <w:i/>
          <w:color w:val="14453F"/>
        </w:rPr>
        <w:t>(Years 2 to 3)</w:t>
      </w:r>
    </w:p>
    <w:p>
      <w:pPr>
        <w:jc w:val="both"/>
      </w:pPr>
      <w:r>
        <w:rPr>
          <w:b w:val="0"/>
          <w:i w:val="0"/>
        </w:rPr>
        <w:t>Aims 1 and 2 establish that the products work. This aim asks whether providers pay, whether the unit economics hold after real costs, and whether the playbook repeats in markets we did not design in. That is the condition on which the business, and any private investment in it, depends.</w:t>
      </w:r>
    </w:p>
    <w:p>
      <w:pPr>
        <w:spacing w:before="120"/>
        <w:jc w:val="both"/>
      </w:pPr>
      <w:r>
        <w:rPr>
          <w:b/>
          <w:i w:val="0"/>
        </w:rPr>
        <w:t>Task 3.1: Open eight new markets in two waves of four.</w:t>
      </w:r>
      <w:r>
        <w:rPr>
          <w:b w:val="0"/>
          <w:i w:val="0"/>
        </w:rPr>
        <w:t xml:space="preserve"> Wave one opens four markets at month 21, wave two four more at month 30. Both run the playbook documented in Aim 2, and wave two is executed by staff who did not write it, with every deviation logged. Waves are compared on time to first provider, cost per activation, and the self-service share of activations, which tests whether the model repeats affordably rather than merely repeats. These are new customers who were never given the product free, so conversion carries no prior-gift confound.</w:t>
      </w:r>
    </w:p>
    <w:p>
      <w:pPr>
        <w:spacing w:before="120"/>
        <w:jc w:val="both"/>
      </w:pPr>
      <w:r>
        <w:rPr>
          <w:b/>
          <w:i w:val="0"/>
        </w:rPr>
        <w:t>Task 3.2: Set price and packaging under real billing.</w:t>
      </w:r>
      <w:r>
        <w:rPr>
          <w:b w:val="0"/>
          <w:i w:val="0"/>
        </w:rPr>
        <w:t xml:space="preserve"> Four price points are tested, two markets each. Two points would show which direction demand moves; four show the shape of the curve, which is what choosing a price requires. Within each pair, one market has a health-professions campus nearby and one does not, so price is crossed with workforce source rather than confounded with it. Candidate prices are seeded by a Van Westendorp price-sensitivity survey of approximately 120 provider decision-makers screened for purchase authority and drawn from both market types, whose cumulative response curves define the acceptable range and the points entered into the arms. That survey runs under IRB approval, apart from any sales or renewal conversation. The arms are anchored on prices providers have already paid us, approximately $275 per month and approximately $150 per placement. Conditions are assigned by market because providers in neighboring markets compare quotes; markets are paired non-adjacently and a contamination monitor runs in the offer workflow. Price points, package variants, the primary contrast, the follow-up horizon, and the decision rule are pre-registered before any outcome is reviewed. The primary outcome is paid conversion within 60 days of offer. </w:t>
      </w:r>
      <w:r>
        <w:rPr>
          <w:b w:val="0"/>
          <w:i/>
        </w:rPr>
        <w:t>Eight markets is eight units of assignment, and the analysis is designed for that rather than around it.</w:t>
      </w:r>
      <w:r>
        <w:rPr>
          <w:b w:val="0"/>
          <w:i w:val="0"/>
        </w:rPr>
        <w:t xml:space="preserve"> The primary comparison uses randomization inference: the observed difference between arms is referred to the distribution of differences the other possible price assignments would have produced. That is valid with few clusters and assumes nothing about large samples. Account-level generalized estimating equations, with market as the cluster and small-sample corrections, are pre-specified as secondary and reported as descriptive. Approximately 40 provider accounts per market reach a priced offer, about 320 across the eight markets and 80 per arm, which sizes account-level conversion to a 95 percent half-width near 10 points in each arm. A biostatistician confirms that sizing against the conversion rate measured in Aim 2 rather than an assumed one, and states in advance the interval width the market-level comparison will deliver, so no one discovers afterward that the answer was never going to be precise enough to act on.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unit economics, retention, and cross-side value.</w:t>
      </w:r>
      <w:r>
        <w:rPr>
          <w:b w:val="0"/>
          <w:i w:val="0"/>
        </w:rPr>
        <w:t xml:space="preserve"> Every figure comes from live billing, payroll, and cost records. Acquisition cost includes spending on non-converters. Monthly net account margin is revenue less the cost to serve defined in Task 2.6. Lifetime value and acquisition cost are estimated on the converting accounts pooled across markets. Per-market contribution margin is reported for every market and flagged as descriptive where a market carries fewer than 20 paying accounts, so a thin cell is never presented as a result. Retention is estimated at 3, 6, 9, and 12 months, and time to churn with discrete-time survival models on account-month records matching the billing cycle, treating voluntary cancellation, uncured payment failure, and downgrade as competing events. Restricted mean survival time at 12 months gives expected account lifetime, and lifetime times monthly net margin gives lifetime value with a confidence interval, so the payback and lifetime-to-acquisition-cost criteria carry measured uncertainty rather than point estimates. </w:t>
      </w:r>
      <w:r>
        <w:rPr>
          <w:b w:val="0"/>
          <w:i/>
        </w:rPr>
        <w:t>The two-sided test.</w:t>
      </w:r>
      <w:r>
        <w:rPr>
          <w:b w:val="0"/>
          <w:i w:val="0"/>
        </w:rPr>
        <w:t xml:space="preserve"> That family demand makes a provider account more valuable is a claim this application makes, so it is tested. Provider value, retention, and margin are modeled against a prior-period measure of consented, qualified family demand in the same market rather than same-month demand, with the adjustment set capped at six terms drawn from provider size and type, baseline activity, acquisition channel, and seasonality. Market enters as a fixed stratum rather than a random effect, because eight markets cannot support a variance component, and the provider organization is the clustering unit. Per-market contribution margin is reported after the cost of serving that market's families, the number that decides whether a market pays for itself.</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implementation measures from Task 2.5 are administered across the paid cohort, with a baseline at enrollment and follow-up at four weeks and three months or after a key event such as activation, downgrade, or churn. Baseline perceived value enters the Task 3.3 survival models as a churn predictor specified in advance. After the interim review, approximately 30 providers are interviewed, sampled purposively across four groups: never converted, converted then churned, retained with low use, and retained with high use. Churn subtype, voluntary or payment failure, is recorded and used in sampling, with at least six providers per group and a documented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 The person-level participant and the account-level economic unit are defined separately, and the joint display converts into the packaging decisions available to Task 3.2.</w:t>
      </w:r>
    </w:p>
    <w:p>
      <w:pPr>
        <w:spacing w:before="120"/>
        <w:jc w:val="both"/>
      </w:pPr>
      <w:r>
        <w:rPr>
          <w:b/>
          <w:i w:val="0"/>
        </w:rPr>
        <w:t>Task 3.5: Independent rebuild and the investor evidence package.</w:t>
      </w:r>
      <w:r>
        <w:rPr>
          <w:b w:val="0"/>
          <w:i w:val="0"/>
        </w:rPr>
        <w:t xml:space="preserve"> An independent analyst under subcontract, working from the pre-specified analysis plan and the raw billing, payroll, and cost records, rebuilds revenue, acquisition cost, cost to serve, margin, retention, and per-market profitability without access to our operating model. The analyst does not set price or packaging. Discrepancies between the rebuild and the operating model are investigated and reported rather than silently reconciled. The package assembles the confirmed model into two forward trajectories, expansion funded by reinvested margin and accelerated expansion under private capital, and is the evidence base for the Commercialization Plan's fundraising strategy.</w:t>
      </w:r>
    </w:p>
    <w:p>
      <w:pPr>
        <w:spacing w:before="120"/>
        <w:jc w:val="both"/>
      </w:pPr>
      <w:r>
        <w:rPr>
          <w:b/>
          <w:i w:val="0"/>
        </w:rPr>
        <w:t>What completing Aim 3 delivers.</w:t>
      </w:r>
      <w:r>
        <w:rPr>
          <w:b w:val="0"/>
          <w:i w:val="0"/>
        </w:rPr>
        <w:t xml:space="preserve"> A price chosen by experiment, per-market contribution margin and the paying accounts a market sustains, both rebuilt from our records by an outside analyst, and evidence that the playbook repeats where we did not design it. Those two per-market numbers are what the Commercialization Plan projects national scale from, and they are the package a private investor requires before funding it.</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contribution margin after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Cost per activation, wave two against wave one</w:t>
            </w:r>
          </w:p>
        </w:tc>
        <w:tc>
          <w:tcPr>
            <w:tcW w:type="dxa" w:w="2052"/>
            <w:tcBorders>
              <w:bottom w:val="single" w:sz="2" w:space="0" w:color="B9C4BD"/>
            </w:tcBorders>
          </w:tcPr>
          <w:p>
            <w:pPr>
              <w:spacing w:after="20" w:before="20"/>
              <w:jc w:val="right"/>
            </w:pPr>
            <w:r/>
            <w:r>
              <w:rPr>
                <w:b w:val="0"/>
                <w:i w:val="0"/>
                <w:sz w:val="18"/>
              </w:rPr>
              <w:t>Falling</w:t>
            </w:r>
          </w:p>
        </w:tc>
        <w:tc>
          <w:tcPr>
            <w:tcW w:type="dxa" w:w="4104"/>
            <w:tcBorders>
              <w:bottom w:val="single" w:sz="2" w:space="0" w:color="B9C4BD"/>
            </w:tcBorders>
          </w:tcPr>
          <w:p>
            <w:pPr>
              <w:spacing w:after="20" w:before="20"/>
              <w:jc w:val="left"/>
            </w:pPr>
            <w:r/>
            <w:r>
              <w:rPr>
                <w:b w:val="0"/>
                <w:i w:val="0"/>
                <w:sz w:val="18"/>
              </w:rPr>
              <w:t>Task 3.1</w:t>
            </w:r>
          </w:p>
        </w:tc>
      </w:tr>
      <w:tr>
        <w:tc>
          <w:tcPr>
            <w:tcW w:type="dxa" w:w="4644"/>
            <w:tcBorders>
              <w:bottom w:val="single" w:sz="2" w:space="0" w:color="B9C4BD"/>
            </w:tcBorders>
          </w:tcPr>
          <w:p>
            <w:pPr>
              <w:spacing w:after="20" w:before="20"/>
              <w:jc w:val="left"/>
            </w:pPr>
            <w:r/>
            <w:r>
              <w:rPr>
                <w:b w:val="0"/>
                <w:i w:val="0"/>
                <w:sz w:val="18"/>
              </w:rPr>
              <w:t>Provider value against prior-period family demand</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3.3, market as fixed stratum</w:t>
            </w:r>
          </w:p>
        </w:tc>
      </w:tr>
      <w:tr>
        <w:tc>
          <w:tcPr>
            <w:tcW w:type="dxa" w:w="4644"/>
            <w:tcBorders>
              <w:bottom w:val="single" w:sz="8" w:space="0" w:color="14453F"/>
            </w:tcBorders>
          </w:tcPr>
          <w:p>
            <w:pPr>
              <w:spacing w:after="20" w:before="20"/>
              <w:jc w:val="left"/>
            </w:pPr>
            <w:r/>
            <w:r>
              <w:rPr>
                <w:b w:val="0"/>
                <w:i w:val="0"/>
                <w:sz w:val="18"/>
              </w:rPr>
              <w:t>Independent rebuild delivered, discrepancies reported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5.</w:t>
      </w:r>
      <w:r>
        <w:rPr>
          <w:b w:val="0"/>
          <w:i w:val="0"/>
          <w:sz w:val="18"/>
        </w:rPr>
        <w:t xml:space="preserve"> Aim 3 quantitative success criteria.</w:t>
      </w:r>
    </w:p>
    <w:p>
      <w:pPr>
        <w:spacing w:before="120"/>
        <w:jc w:val="both"/>
      </w:pPr>
      <w:r>
        <w:rPr>
          <w:b/>
          <w:i w:val="0"/>
        </w:rPr>
        <w:t>Potential problems, alternative strategies, and the stop rule.</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and re-test in wave two. If margins are positive but below what a market needs to fund itself, no further markets open until the cost structure improves. If wave two slips, wave one still carries the pricing, unit economics, and retention results.</w:t>
      </w:r>
    </w:p>
    <w:p>
      <w:pPr>
        <w:spacing w:before="120"/>
        <w:jc w:val="both"/>
      </w:pPr>
      <w:r>
        <w:rPr>
          <w:b/>
          <w:i w:val="0"/>
        </w:rPr>
        <w:t>The stop rule.</w:t>
      </w:r>
      <w:r>
        <w:rPr>
          <w:b w:val="0"/>
          <w:i w:val="0"/>
        </w:rPr>
        <w:t xml:space="preserve">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will report the provider-funded model as disconfirmed, hold wave two, and redirect the remaining effort to completing and publishing the analysis. The month 21 gate tested retention in the free markets; this tests whether it survives when a provider is paying for it. A commercialization program should fund projects willing to find out they are wrong.</w:t>
      </w:r>
    </w:p>
    <w:p>
      <w:pPr>
        <w:spacing w:before="120"/>
        <w:jc w:val="both"/>
      </w:pPr>
      <w:r>
        <w:rPr>
          <w:b/>
          <w:i w:val="0"/>
        </w:rPr>
        <w:t>If staffing revenue alone proves insufficient.</w:t>
      </w:r>
      <w:r>
        <w:rPr>
          <w:b w:val="0"/>
          <w:i w:val="0"/>
        </w:rPr>
        <w:t xml:space="preserve"> One product may not carry a market. We expect it will: two-thirds of home-care providers turned away business in 2023 for lack of staff, and our price sits far below what they already pay to hire. If the measured economics fall short, this award still produces assets that support other revenue without new invention: the provider growth tools already operating today, an employer-paid caregiver benefit on the same navigation product, contracted navigation for risk-bearing organizations on the GUIDE precedent, and aggregate market intelligence from the outcomes record. </w:t>
      </w:r>
      <w:r>
        <w:rPr>
          <w:b/>
          <w:i w:val="0"/>
        </w:rPr>
        <w:t>None is tested here and none carries an endpoint.</w:t>
      </w:r>
      <w:r>
        <w:rPr>
          <w:b w:val="0"/>
          <w:i w:val="0"/>
        </w:rPr>
        <w:t xml:space="preserve"> The Commercialization Plan models them.</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2.3, 2.5, and 3.4 and holds the protocols, integrated through quarterly protocol review and the data-management procedures specified in the subaward. </w:t>
      </w:r>
      <w:r>
        <w:rPr>
          <w:b/>
          <w:i w:val="0"/>
        </w:rPr>
        <w:t>An independent financial analyst</w:t>
      </w:r>
      <w:r>
        <w:rPr>
          <w:b w:val="0"/>
          <w:i w:val="0"/>
        </w:rPr>
        <w:t xml:space="preserve"> performs Task 3.5, and </w:t>
      </w:r>
      <w:r>
        <w:rPr>
          <w:b/>
          <w:i w:val="0"/>
        </w:rPr>
        <w:t>pricing and biostatistical consultation</w:t>
      </w:r>
      <w:r>
        <w:rPr>
          <w:b w:val="0"/>
          <w:i w:val="0"/>
        </w:rPr>
        <w:t xml:space="preserve"> supports the pre-registration and arm sizing in Task 3.2. The Principal Investigator holds integration authority and every gate decision, against a quarterly milestone review of Tables 3 through 5. Consultant scopes, reporting cadence, and the commercialization milestones that run alongside these aims are specified in the Project Management Plan.</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here waits on a federal approval. Four regimes govern operations: family data under HIPAA-aligned safeguards; referral practice, where charging no fee means no steering incentive exists; employment, training, insurance, and supervision of every placed worker, which rest with the licensed provider rather than with Olera; and any joining of an external record to ours, which requires a data-use agreement and an IRB determination.</w:t>
      </w:r>
    </w:p>
    <w:p>
      <w:pPr>
        <w:spacing w:before="120"/>
        <w:jc w:val="both"/>
      </w:pPr>
      <w:r>
        <w:rPr>
          <w:b/>
          <w:i w:val="0"/>
        </w:rPr>
        <w:t>Timetable and what the award leaves behind.</w:t>
      </w:r>
      <w:r>
        <w:rPr>
          <w:b w:val="0"/>
          <w:i w:val="0"/>
        </w:rPr>
        <w:t xml:space="preserve"> Figure 5 gives the quarter-by-quarter schedule and the four decision points, each of which holds the next stage until its gate is met. At award end the independent rebuild is delivered.</w:t>
      </w:r>
    </w:p>
    <w:p>
      <w:pPr>
        <w:jc w:val="both"/>
      </w:pPr>
      <w:r>
        <w:rPr>
          <w:b w:val="0"/>
          <w:i w:val="0"/>
        </w:rPr>
        <w:t xml:space="preserve">Ten markets and one priced product is a deliberately small footprint for an award this size, and that is the point. </w:t>
      </w:r>
      <w:r>
        <w:rPr>
          <w:b/>
          <w:i w:val="0"/>
        </w:rPr>
        <w:t>The markets are an instrument, not the deliverable.</w:t>
      </w:r>
      <w:r>
        <w:rPr>
          <w:b w:val="0"/>
          <w:i w:val="0"/>
        </w:rPr>
        <w:t xml:space="preserve"> We are not buying revenue with this grant. We are buying what each aim delivers above, and those things transfer to the next hundred markets in a way that revenue does not. A larger footprint bought with the same dollars would produce more revenue and less evidence, and evidence is what we do not have.</w:t>
      </w:r>
    </w:p>
    <w:p>
      <w:pPr>
        <w:keepNext/>
        <w:spacing w:before="80" w:after="40"/>
        <w:jc w:val="center"/>
      </w:pPr>
      <w:r>
        <w:drawing>
          <wp:inline xmlns:a="http://schemas.openxmlformats.org/drawingml/2006/main" xmlns:pic="http://schemas.openxmlformats.org/drawingml/2006/picture">
            <wp:extent cx="6400800" cy="2033015"/>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033015"/>
                    </a:xfrm>
                    <a:prstGeom prst="rect"/>
                  </pic:spPr>
                </pic:pic>
              </a:graphicData>
            </a:graphic>
          </wp:inline>
        </w:drawing>
      </w:r>
    </w:p>
    <w:p>
      <w:pPr>
        <w:spacing w:after="80"/>
        <w:jc w:val="left"/>
      </w:pPr>
      <w:r>
        <w:rPr>
          <w:b/>
          <w:i w:val="0"/>
          <w:sz w:val="18"/>
        </w:rPr>
        <w:t>Figure 5.</w:t>
      </w:r>
      <w:r>
        <w:rPr>
          <w:b w:val="0"/>
          <w:i w:val="0"/>
          <w:sz w:val="18"/>
        </w:rPr>
        <w:t xml:space="preserve"> Three-year timetable, showing the sequencing among the aims, staged market entry, and the four formal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Aim 1 builds, do not exist in the product today and are not funded by any existing award.</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The Phase IIB review assessed the platform's commercial potential as extremely high, citing its ability to help caregivers access eligible funding. Table 6 records what each activity established and which funding produced it. Two of the five entries were funded outside the Phase II scope, using I-Corps support and the company's own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now entering production integration.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of use (n = 65); multi-agent version 5.73 of 7 (n = 31, in preparation).</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about 15,500 a month, from nearly every county in the country at near-zero acquisition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 roughly 150 more each month.</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Aim 1 removes the cap.</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6.</w:t>
      </w:r>
      <w:r>
        <w:rPr>
          <w:b w:val="0"/>
          <w:i w:val="0"/>
          <w:sz w:val="18"/>
        </w:rPr>
        <w:t xml:space="preserve"> Commercialization risks retired to date, the funding that retired each, and the risk that remains.</w:t>
      </w:r>
    </w:p>
    <w:p>
      <w:pPr>
        <w:spacing w:before="120"/>
        <w:jc w:val="both"/>
      </w:pPr>
      <w:r>
        <w:rPr>
          <w:b/>
          <w:i w:val="0"/>
        </w:rPr>
        <w:t>What the operating record already shows.</w:t>
      </w:r>
      <w:r>
        <w:rPr>
          <w:b w:val="0"/>
          <w:i w:val="0"/>
        </w:rPr>
        <w:t xml:space="preserve"> Among providers with a claimed account, platform activity runs about fifteen times higher on the day a family lead arrives than on days without one. </w:t>
      </w:r>
      <w:r>
        <w:rPr>
          <w:b/>
          <w:i w:val="0"/>
        </w:rPr>
        <w:t>That is the cross-side effect Task 3.3 tests formally, already visible in behavior.</w:t>
      </w:r>
      <w:r>
        <w:rPr>
          <w:b w:val="0"/>
          <w:i w:val="0"/>
        </w:rPr>
        <w:t xml:space="preserve"> The provider tools launched nationwide in July 2026 with no paywall, so there is no pricing history to read and Aim 3 sets the first one. The staffing model is also replicating with little staff effort: a committed provider and a university advisor are prepared for a fall pilot in Indiana, seeded by one coordinator.</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ends.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endpoints this application works to.</w:t>
      </w:r>
      <w:r>
        <w:rPr>
          <w:b w:val="0"/>
          <w:i w:val="0"/>
        </w:rPr>
        <w:t xml:space="preserve"> Olera has been evaluated by Ziegler, the leading underwriter of financing for nonprofit senior living providers, and by Equitage Ventures, an early-stage fund dedicated to the aging economy. </w:t>
      </w:r>
      <w:r>
        <w:rPr>
          <w:b/>
          <w:i w:val="0"/>
        </w:rPr>
        <w:t>That diligence set the commercial endpoints in Tables 3 through 5, so the milestones in this application are the ones our prospective investors said they would need.</w:t>
      </w:r>
      <w:r>
        <w:rPr>
          <w:b w:val="0"/>
          <w:i w:val="0"/>
        </w:rPr>
        <w:t xml:space="preserve"> Dr. Falohun was Principal Investigator on both prior NIA awards and delivered against their milestones; Dr. Fan, at Clemson, is Co-Investigator at 25 percent effort and holds every human subjects protocol. Biosketches carry the rest.</w:t>
      </w:r>
    </w:p>
    <w:p>
      <w:pPr>
        <w:spacing w:before="120"/>
        <w:jc w:val="both"/>
      </w:pPr>
      <w:r>
        <w:rPr>
          <w:b/>
          <w:i w:val="0"/>
        </w:rPr>
        <w:t>The question that remains.</w:t>
      </w:r>
      <w:r>
        <w:rPr>
          <w:b w:val="0"/>
          <w:i w:val="0"/>
        </w:rPr>
        <w:t xml:space="preserve"> Nine years of federal and company investment answered everything that could be answered without customers. Whether a local market pays for itself, and whether the result repeats, has to be measured with real money changing hands, over long enough to observe churn.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