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40"/>
        <w:jc w:val="left"/>
      </w:pPr>
      <w:r>
        <w:rPr>
          <w:b/>
          <w:color w:val="14453F"/>
          <w:sz w:val="30"/>
        </w:rPr>
        <w:t>Week-by-Week Plan to CRP Submission</w:t>
      </w:r>
    </w:p>
    <w:p>
      <w:pPr>
        <w:spacing w:after="180"/>
        <w:jc w:val="left"/>
      </w:pPr>
      <w:r>
        <w:rPr>
          <w:b w:val="0"/>
          <w:i w:val="0"/>
          <w:color w:val="5F6B64"/>
          <w:sz w:val="20"/>
        </w:rPr>
        <w:t>Attachment to the Olera Pre-CRP Commercialization and Execution Plan · 31 August 2026 to 1 January 2027</w:t>
      </w:r>
    </w:p>
    <w:p>
      <w:pPr>
        <w:spacing w:before="160" w:after="60"/>
        <w:jc w:val="both"/>
      </w:pPr>
      <w:r>
        <w:rPr>
          <w:b/>
          <w:i w:val="0"/>
        </w:rPr>
        <w:t>How to read this.</w:t>
      </w:r>
      <w:r>
        <w:rPr>
          <w:b w:val="0"/>
          <w:i w:val="0"/>
        </w:rPr>
        <w:t xml:space="preserve"> One row per week, from this week to submission. Every task traces to the memo's four tracks and its month-by-month backward plan; nothing here adds a commitment the memo does not already make. Four weeks are checkpoints, shaded below: at each one the plan either holds or is re-cut against the January scoreboard. Two weeks are holidays and carry no planned work, because a plan that needs Christmas to succeed has already failed.</w:t>
      </w:r>
    </w:p>
    <w:p>
      <w:pPr>
        <w:spacing w:before="160" w:after="60"/>
        <w:jc w:val="both"/>
      </w:pPr>
      <w:r>
        <w:rPr>
          <w:b/>
          <w:i w:val="0"/>
        </w:rPr>
        <w:t>The one date that matters is not 1 January.</w:t>
      </w:r>
      <w:r>
        <w:rPr>
          <w:b w:val="0"/>
          <w:i w:val="0"/>
        </w:rPr>
        <w:t xml:space="preserve"> It is Week 16, 18 December, when everything must be complete. January 1 is a federal holiday and the two weeks before it are the least reliable of the year. The plan therefore finishes the work before the holidays and treats the last fortnight as buffer and submission mechanics only.</w:t>
      </w:r>
    </w:p>
    <w:tbl>
      <w:tblPr>
        <w:tblLook w:firstColumn="1" w:firstRow="1" w:lastColumn="0" w:lastRow="0" w:noHBand="0" w:noVBand="1" w:val="04A0"/>
        <w:tblBorders>
          <w:top w:val="none" w:sz="0"/>
          <w:left w:val="none" w:sz="0"/>
          <w:bottom w:val="none" w:sz="0"/>
          <w:right w:val="none" w:sz="0"/>
          <w:insideH w:val="none" w:sz="0"/>
          <w:insideV w:val="none" w:sz="0"/>
        </w:tblBorders>
        <w:tblW w:w="10800" w:type="dxa"/>
        <w:tblLayout w:type="fixed"/>
      </w:tblPr>
      <w:tblGrid>
        <w:gridCol w:w="1296"/>
        <w:gridCol w:w="2376"/>
        <w:gridCol w:w="5508"/>
        <w:gridCol w:w="1620"/>
      </w:tblGrid>
      <w:tr>
        <w:tc>
          <w:tcPr>
            <w:tcW w:type="dxa" w:w="1296"/>
            <w:tcBorders>
              <w:bottom w:val="single" w:sz="8" w:space="0" w:color="14453F"/>
            </w:tcBorders>
          </w:tcPr>
          <w:p>
            <w:pPr>
              <w:spacing w:before="30" w:after="30"/>
              <w:jc w:val="left"/>
            </w:pPr>
            <w:r/>
            <w:r>
              <w:rPr>
                <w:b/>
                <w:i w:val="0"/>
                <w:color w:val="14453F"/>
                <w:sz w:val="18"/>
              </w:rPr>
              <w:t>Week</w:t>
            </w:r>
          </w:p>
        </w:tc>
        <w:tc>
          <w:tcPr>
            <w:tcW w:type="dxa" w:w="2376"/>
            <w:tcBorders>
              <w:bottom w:val="single" w:sz="8" w:space="0" w:color="14453F"/>
            </w:tcBorders>
          </w:tcPr>
          <w:p>
            <w:pPr>
              <w:spacing w:before="30" w:after="30"/>
              <w:jc w:val="left"/>
            </w:pPr>
            <w:r/>
            <w:r>
              <w:rPr>
                <w:b/>
                <w:i w:val="0"/>
                <w:color w:val="14453F"/>
                <w:sz w:val="18"/>
              </w:rPr>
              <w:t>The week's job</w:t>
            </w:r>
          </w:p>
        </w:tc>
        <w:tc>
          <w:tcPr>
            <w:tcW w:type="dxa" w:w="5508"/>
            <w:tcBorders>
              <w:bottom w:val="single" w:sz="8" w:space="0" w:color="14453F"/>
            </w:tcBorders>
          </w:tcPr>
          <w:p>
            <w:pPr>
              <w:spacing w:before="30" w:after="30"/>
              <w:jc w:val="left"/>
            </w:pPr>
            <w:r/>
            <w:r>
              <w:rPr>
                <w:b/>
                <w:i w:val="0"/>
                <w:color w:val="14453F"/>
                <w:sz w:val="18"/>
              </w:rPr>
              <w:t>Tasks</w:t>
            </w:r>
          </w:p>
        </w:tc>
        <w:tc>
          <w:tcPr>
            <w:tcW w:type="dxa" w:w="1620"/>
            <w:tcBorders>
              <w:bottom w:val="single" w:sz="8" w:space="0" w:color="14453F"/>
            </w:tcBorders>
          </w:tcPr>
          <w:p>
            <w:pPr>
              <w:spacing w:before="30" w:after="30"/>
              <w:jc w:val="left"/>
            </w:pPr>
            <w:r/>
            <w:r>
              <w:rPr>
                <w:b/>
                <w:i w:val="0"/>
                <w:color w:val="14453F"/>
                <w:sz w:val="18"/>
              </w:rPr>
              <w:t>Owner</w:t>
            </w:r>
          </w:p>
        </w:tc>
      </w:tr>
      <w:tr>
        <w:tc>
          <w:tcPr>
            <w:tcW w:type="dxa" w:w="1296"/>
            <w:shd w:val="clear" w:color="auto" w:fill="EEF3F1"/>
            <w:tcBorders>
              <w:bottom w:val="single" w:sz="2" w:space="0" w:color="B9C4BD"/>
            </w:tcBorders>
          </w:tcPr>
          <w:p>
            <w:pPr>
              <w:spacing w:before="30" w:after="30"/>
              <w:jc w:val="left"/>
            </w:pPr>
            <w:r/>
            <w:r>
              <w:rPr>
                <w:b/>
                <w:i w:val="0"/>
                <w:color w:val="14453F"/>
                <w:sz w:val="18"/>
              </w:rPr>
              <w:t>Week 1</w:t>
            </w:r>
          </w:p>
          <w:p>
            <w:pPr>
              <w:spacing w:before="0" w:after="30"/>
              <w:jc w:val="left"/>
            </w:pPr>
            <w:r>
              <w:rPr>
                <w:b w:val="0"/>
                <w:i w:val="0"/>
                <w:sz w:val="18"/>
              </w:rPr>
              <w:t>Aug 31 to Sep 4</w:t>
            </w:r>
          </w:p>
        </w:tc>
        <w:tc>
          <w:tcPr>
            <w:tcW w:type="dxa" w:w="2376"/>
            <w:shd w:val="clear" w:color="auto" w:fill="EEF3F1"/>
            <w:tcBorders>
              <w:bottom w:val="single" w:sz="2" w:space="0" w:color="B9C4BD"/>
            </w:tcBorders>
          </w:tcPr>
          <w:p>
            <w:pPr>
              <w:spacing w:before="30" w:after="30"/>
              <w:jc w:val="left"/>
            </w:pPr>
            <w:r/>
            <w:r>
              <w:rPr>
                <w:b/>
                <w:i w:val="0"/>
                <w:color w:val="14453F"/>
                <w:sz w:val="18"/>
              </w:rPr>
              <w:t>Decide and set the baseline</w:t>
            </w:r>
          </w:p>
        </w:tc>
        <w:tc>
          <w:tcPr>
            <w:tcW w:type="dxa" w:w="5508"/>
            <w:shd w:val="clear" w:color="auto" w:fill="EEF3F1"/>
            <w:tcBorders>
              <w:bottom w:val="single" w:sz="2" w:space="0" w:color="B9C4BD"/>
            </w:tcBorders>
          </w:tcPr>
          <w:p>
            <w:pPr>
              <w:spacing w:before="30" w:after="30"/>
              <w:jc w:val="left"/>
            </w:pPr>
            <w:r/>
            <w:r>
              <w:rPr>
                <w:b w:val="0"/>
                <w:i w:val="0"/>
                <w:sz w:val="18"/>
              </w:rPr>
              <w:t>Decision session with David and TJ: lock minimum, target, and stretch goals</w:t>
            </w:r>
          </w:p>
          <w:p>
            <w:pPr>
              <w:spacing w:before="0" w:after="30"/>
              <w:jc w:val="left"/>
            </w:pPr>
            <w:r>
              <w:rPr>
                <w:b w:val="0"/>
                <w:i w:val="0"/>
                <w:sz w:val="18"/>
              </w:rPr>
              <w:t>Choose the beachhead, and whether both provider products run or one leads</w:t>
            </w:r>
          </w:p>
          <w:p>
            <w:pPr>
              <w:spacing w:before="0" w:after="30"/>
              <w:jc w:val="left"/>
            </w:pPr>
            <w:r>
              <w:rPr>
                <w:b w:val="0"/>
                <w:i w:val="0"/>
                <w:sz w:val="18"/>
              </w:rPr>
              <w:t>Stand up the weekly dashboard and record today's baseline numbers</w:t>
            </w:r>
          </w:p>
        </w:tc>
        <w:tc>
          <w:tcPr>
            <w:tcW w:type="dxa" w:w="1620"/>
            <w:shd w:val="clear" w:color="auto" w:fill="EEF3F1"/>
            <w:tcBorders>
              <w:bottom w:val="single" w:sz="2" w:space="0" w:color="B9C4BD"/>
            </w:tcBorders>
          </w:tcPr>
          <w:p>
            <w:pPr>
              <w:spacing w:before="30" w:after="30"/>
              <w:jc w:val="left"/>
            </w:pPr>
            <w:r/>
            <w:r>
              <w:rPr>
                <w:b w:val="0"/>
                <w:i w:val="0"/>
                <w:sz w:val="18"/>
              </w:rPr>
              <w:t>Logan, TJ, David</w:t>
            </w:r>
          </w:p>
        </w:tc>
      </w:tr>
      <w:tr>
        <w:tc>
          <w:tcPr>
            <w:tcW w:type="dxa" w:w="1296"/>
            <w:tcBorders>
              <w:bottom w:val="single" w:sz="2" w:space="0" w:color="B9C4BD"/>
            </w:tcBorders>
          </w:tcPr>
          <w:p>
            <w:pPr>
              <w:spacing w:before="30" w:after="30"/>
              <w:jc w:val="left"/>
            </w:pPr>
            <w:r/>
            <w:r>
              <w:rPr>
                <w:b/>
                <w:i w:val="0"/>
                <w:color w:val="14453F"/>
                <w:sz w:val="18"/>
              </w:rPr>
              <w:t>Week 2</w:t>
            </w:r>
          </w:p>
          <w:p>
            <w:pPr>
              <w:spacing w:before="0" w:after="30"/>
              <w:jc w:val="left"/>
            </w:pPr>
            <w:r>
              <w:rPr>
                <w:b w:val="0"/>
                <w:i w:val="0"/>
                <w:sz w:val="18"/>
              </w:rPr>
              <w:t>Sep 7–11</w:t>
            </w:r>
          </w:p>
        </w:tc>
        <w:tc>
          <w:tcPr>
            <w:tcW w:type="dxa" w:w="2376"/>
            <w:tcBorders>
              <w:bottom w:val="single" w:sz="2" w:space="0" w:color="B9C4BD"/>
            </w:tcBorders>
          </w:tcPr>
          <w:p>
            <w:pPr>
              <w:spacing w:before="30" w:after="30"/>
              <w:jc w:val="left"/>
            </w:pPr>
            <w:r/>
            <w:r>
              <w:rPr>
                <w:b/>
                <w:i w:val="0"/>
                <w:color w:val="14453F"/>
                <w:sz w:val="18"/>
              </w:rPr>
              <w:t>Package the offer</w:t>
            </w:r>
          </w:p>
        </w:tc>
        <w:tc>
          <w:tcPr>
            <w:tcW w:type="dxa" w:w="5508"/>
            <w:tcBorders>
              <w:bottom w:val="single" w:sz="2" w:space="0" w:color="B9C4BD"/>
            </w:tcBorders>
          </w:tcPr>
          <w:p>
            <w:pPr>
              <w:spacing w:before="30" w:after="30"/>
              <w:jc w:val="left"/>
            </w:pPr>
            <w:r/>
            <w:r>
              <w:rPr>
                <w:b w:val="0"/>
                <w:i w:val="0"/>
                <w:sz w:val="18"/>
              </w:rPr>
              <w:t>Finalize Client Growth and Staffing offers, pricing, and terms</w:t>
            </w:r>
          </w:p>
          <w:p>
            <w:pPr>
              <w:spacing w:before="0" w:after="30"/>
              <w:jc w:val="left"/>
            </w:pPr>
            <w:r>
              <w:rPr>
                <w:b w:val="0"/>
                <w:i w:val="0"/>
                <w:sz w:val="18"/>
              </w:rPr>
              <w:t>Build the target list of non-medical home care agencies</w:t>
            </w:r>
          </w:p>
          <w:p>
            <w:pPr>
              <w:spacing w:before="0" w:after="30"/>
              <w:jc w:val="left"/>
            </w:pPr>
            <w:r>
              <w:rPr>
                <w:b w:val="0"/>
                <w:i w:val="0"/>
                <w:sz w:val="18"/>
              </w:rPr>
              <w:t>Write the sales workflow, first contact through signed</w:t>
            </w:r>
          </w:p>
        </w:tc>
        <w:tc>
          <w:tcPr>
            <w:tcW w:type="dxa" w:w="1620"/>
            <w:tcBorders>
              <w:bottom w:val="single" w:sz="2" w:space="0" w:color="B9C4BD"/>
            </w:tcBorders>
          </w:tcPr>
          <w:p>
            <w:pPr>
              <w:spacing w:before="30" w:after="30"/>
              <w:jc w:val="left"/>
            </w:pPr>
            <w:r/>
            <w:r>
              <w:rPr>
                <w:b w:val="0"/>
                <w:i w:val="0"/>
                <w:sz w:val="18"/>
              </w:rPr>
              <w:t>TJ</w:t>
            </w:r>
          </w:p>
        </w:tc>
      </w:tr>
      <w:tr>
        <w:tc>
          <w:tcPr>
            <w:tcW w:type="dxa" w:w="1296"/>
            <w:tcBorders>
              <w:bottom w:val="single" w:sz="2" w:space="0" w:color="B9C4BD"/>
            </w:tcBorders>
          </w:tcPr>
          <w:p>
            <w:pPr>
              <w:spacing w:before="30" w:after="30"/>
              <w:jc w:val="left"/>
            </w:pPr>
            <w:r/>
            <w:r>
              <w:rPr>
                <w:b/>
                <w:i w:val="0"/>
                <w:color w:val="14453F"/>
                <w:sz w:val="18"/>
              </w:rPr>
              <w:t>Week 3</w:t>
            </w:r>
          </w:p>
          <w:p>
            <w:pPr>
              <w:spacing w:before="0" w:after="30"/>
              <w:jc w:val="left"/>
            </w:pPr>
            <w:r>
              <w:rPr>
                <w:b w:val="0"/>
                <w:i w:val="0"/>
                <w:sz w:val="18"/>
              </w:rPr>
              <w:t>Sep 14–18</w:t>
            </w:r>
          </w:p>
        </w:tc>
        <w:tc>
          <w:tcPr>
            <w:tcW w:type="dxa" w:w="2376"/>
            <w:tcBorders>
              <w:bottom w:val="single" w:sz="2" w:space="0" w:color="B9C4BD"/>
            </w:tcBorders>
          </w:tcPr>
          <w:p>
            <w:pPr>
              <w:spacing w:before="30" w:after="30"/>
              <w:jc w:val="left"/>
            </w:pPr>
            <w:r/>
            <w:r>
              <w:rPr>
                <w:b/>
                <w:i w:val="0"/>
                <w:color w:val="14453F"/>
                <w:sz w:val="18"/>
              </w:rPr>
              <w:t>Start selling, start buyer discovery</w:t>
            </w:r>
          </w:p>
        </w:tc>
        <w:tc>
          <w:tcPr>
            <w:tcW w:type="dxa" w:w="5508"/>
            <w:tcBorders>
              <w:bottom w:val="single" w:sz="2" w:space="0" w:color="B9C4BD"/>
            </w:tcBorders>
          </w:tcPr>
          <w:p>
            <w:pPr>
              <w:spacing w:before="30" w:after="30"/>
              <w:jc w:val="left"/>
            </w:pPr>
            <w:r/>
            <w:r>
              <w:rPr>
                <w:b w:val="0"/>
                <w:i w:val="0"/>
                <w:sz w:val="18"/>
              </w:rPr>
              <w:t>Begin concentrated outreach to the target list</w:t>
            </w:r>
          </w:p>
          <w:p>
            <w:pPr>
              <w:spacing w:before="0" w:after="30"/>
              <w:jc w:val="left"/>
            </w:pPr>
            <w:r>
              <w:rPr>
                <w:b w:val="0"/>
                <w:i w:val="0"/>
                <w:sz w:val="18"/>
              </w:rPr>
              <w:t>Finish the institutional-buyer hypothesis and interview guide</w:t>
            </w:r>
          </w:p>
          <w:p>
            <w:pPr>
              <w:spacing w:before="0" w:after="30"/>
              <w:jc w:val="left"/>
            </w:pPr>
            <w:r>
              <w:rPr>
                <w:b w:val="0"/>
                <w:i w:val="0"/>
                <w:sz w:val="18"/>
              </w:rPr>
              <w:t>Book the first Medicare Advantage and ACO conversations</w:t>
            </w:r>
          </w:p>
        </w:tc>
        <w:tc>
          <w:tcPr>
            <w:tcW w:type="dxa" w:w="1620"/>
            <w:tcBorders>
              <w:bottom w:val="single" w:sz="2" w:space="0" w:color="B9C4BD"/>
            </w:tcBorders>
          </w:tcPr>
          <w:p>
            <w:pPr>
              <w:spacing w:before="30" w:after="30"/>
              <w:jc w:val="left"/>
            </w:pPr>
            <w:r/>
            <w:r>
              <w:rPr>
                <w:b w:val="0"/>
                <w:i w:val="0"/>
                <w:sz w:val="18"/>
              </w:rPr>
              <w:t>TJ, Logan</w:t>
            </w:r>
          </w:p>
        </w:tc>
      </w:tr>
      <w:tr>
        <w:tc>
          <w:tcPr>
            <w:tcW w:type="dxa" w:w="1296"/>
            <w:tcBorders>
              <w:bottom w:val="single" w:sz="2" w:space="0" w:color="B9C4BD"/>
            </w:tcBorders>
          </w:tcPr>
          <w:p>
            <w:pPr>
              <w:spacing w:before="30" w:after="30"/>
              <w:jc w:val="left"/>
            </w:pPr>
            <w:r/>
            <w:r>
              <w:rPr>
                <w:b/>
                <w:i w:val="0"/>
                <w:color w:val="14453F"/>
                <w:sz w:val="18"/>
              </w:rPr>
              <w:t>Week 4</w:t>
            </w:r>
          </w:p>
          <w:p>
            <w:pPr>
              <w:spacing w:before="0" w:after="30"/>
              <w:jc w:val="left"/>
            </w:pPr>
            <w:r>
              <w:rPr>
                <w:b w:val="0"/>
                <w:i w:val="0"/>
                <w:sz w:val="18"/>
              </w:rPr>
              <w:t>Sep 21–25</w:t>
            </w:r>
          </w:p>
        </w:tc>
        <w:tc>
          <w:tcPr>
            <w:tcW w:type="dxa" w:w="2376"/>
            <w:tcBorders>
              <w:bottom w:val="single" w:sz="2" w:space="0" w:color="B9C4BD"/>
            </w:tcBorders>
          </w:tcPr>
          <w:p>
            <w:pPr>
              <w:spacing w:before="30" w:after="30"/>
              <w:jc w:val="left"/>
            </w:pPr>
            <w:r/>
            <w:r>
              <w:rPr>
                <w:b/>
                <w:i w:val="0"/>
                <w:color w:val="14453F"/>
                <w:sz w:val="18"/>
              </w:rPr>
              <w:t>Write the pre-CRP product plan</w:t>
            </w:r>
          </w:p>
        </w:tc>
        <w:tc>
          <w:tcPr>
            <w:tcW w:type="dxa" w:w="5508"/>
            <w:tcBorders>
              <w:bottom w:val="single" w:sz="2" w:space="0" w:color="B9C4BD"/>
            </w:tcBorders>
          </w:tcPr>
          <w:p>
            <w:pPr>
              <w:spacing w:before="30" w:after="30"/>
              <w:jc w:val="left"/>
            </w:pPr>
            <w:r/>
            <w:r>
              <w:rPr>
                <w:b w:val="0"/>
                <w:i w:val="0"/>
                <w:sz w:val="18"/>
              </w:rPr>
              <w:t>Define what CareNavigator must complete before CRP Day 1, on Phase IIB and company resources</w:t>
            </w:r>
          </w:p>
          <w:p>
            <w:pPr>
              <w:spacing w:before="0" w:after="30"/>
              <w:jc w:val="left"/>
            </w:pPr>
            <w:r>
              <w:rPr>
                <w:b w:val="0"/>
                <w:i w:val="0"/>
                <w:sz w:val="18"/>
              </w:rPr>
              <w:t>First buyer interviews</w:t>
            </w:r>
          </w:p>
          <w:p>
            <w:pPr>
              <w:spacing w:before="0" w:after="30"/>
              <w:jc w:val="left"/>
            </w:pPr>
            <w:r>
              <w:rPr>
                <w:b w:val="0"/>
                <w:i w:val="0"/>
                <w:sz w:val="18"/>
              </w:rPr>
              <w:t>Keep selling</w:t>
            </w:r>
          </w:p>
        </w:tc>
        <w:tc>
          <w:tcPr>
            <w:tcW w:type="dxa" w:w="1620"/>
            <w:tcBorders>
              <w:bottom w:val="single" w:sz="2" w:space="0" w:color="B9C4BD"/>
            </w:tcBorders>
          </w:tcPr>
          <w:p>
            <w:pPr>
              <w:spacing w:before="30" w:after="30"/>
              <w:jc w:val="left"/>
            </w:pPr>
            <w:r/>
            <w:r>
              <w:rPr>
                <w:b w:val="0"/>
                <w:i w:val="0"/>
                <w:sz w:val="18"/>
              </w:rPr>
              <w:t>TJ, Logan</w:t>
            </w:r>
          </w:p>
        </w:tc>
      </w:tr>
      <w:tr>
        <w:tc>
          <w:tcPr>
            <w:tcW w:type="dxa" w:w="1296"/>
            <w:shd w:val="clear" w:color="auto" w:fill="EEF3F1"/>
            <w:tcBorders>
              <w:bottom w:val="single" w:sz="2" w:space="0" w:color="B9C4BD"/>
            </w:tcBorders>
          </w:tcPr>
          <w:p>
            <w:pPr>
              <w:spacing w:before="30" w:after="30"/>
              <w:jc w:val="left"/>
            </w:pPr>
            <w:r/>
            <w:r>
              <w:rPr>
                <w:b/>
                <w:i w:val="0"/>
                <w:color w:val="14453F"/>
                <w:sz w:val="18"/>
              </w:rPr>
              <w:t>Week 5</w:t>
            </w:r>
          </w:p>
          <w:p>
            <w:pPr>
              <w:spacing w:before="0" w:after="30"/>
              <w:jc w:val="left"/>
            </w:pPr>
            <w:r>
              <w:rPr>
                <w:b w:val="0"/>
                <w:i w:val="0"/>
                <w:sz w:val="18"/>
              </w:rPr>
              <w:t>Sep 28 to Oct 2</w:t>
            </w:r>
          </w:p>
        </w:tc>
        <w:tc>
          <w:tcPr>
            <w:tcW w:type="dxa" w:w="2376"/>
            <w:shd w:val="clear" w:color="auto" w:fill="EEF3F1"/>
            <w:tcBorders>
              <w:bottom w:val="single" w:sz="2" w:space="0" w:color="B9C4BD"/>
            </w:tcBorders>
          </w:tcPr>
          <w:p>
            <w:pPr>
              <w:spacing w:before="30" w:after="30"/>
              <w:jc w:val="left"/>
            </w:pPr>
            <w:r/>
            <w:r>
              <w:rPr>
                <w:b/>
                <w:i w:val="0"/>
                <w:color w:val="14453F"/>
                <w:sz w:val="18"/>
              </w:rPr>
              <w:t>First close</w:t>
            </w:r>
          </w:p>
        </w:tc>
        <w:tc>
          <w:tcPr>
            <w:tcW w:type="dxa" w:w="5508"/>
            <w:shd w:val="clear" w:color="auto" w:fill="EEF3F1"/>
            <w:tcBorders>
              <w:bottom w:val="single" w:sz="2" w:space="0" w:color="B9C4BD"/>
            </w:tcBorders>
          </w:tcPr>
          <w:p>
            <w:pPr>
              <w:spacing w:before="30" w:after="30"/>
              <w:jc w:val="left"/>
            </w:pPr>
            <w:r/>
            <w:r>
              <w:rPr>
                <w:b w:val="0"/>
                <w:i w:val="0"/>
                <w:sz w:val="18"/>
              </w:rPr>
              <w:t>Close the first paying provider</w:t>
            </w:r>
          </w:p>
          <w:p>
            <w:pPr>
              <w:spacing w:before="0" w:after="30"/>
              <w:jc w:val="left"/>
            </w:pPr>
            <w:r>
              <w:rPr>
                <w:b w:val="0"/>
                <w:i w:val="0"/>
                <w:sz w:val="18"/>
              </w:rPr>
              <w:t>Two more buyer interviews</w:t>
            </w:r>
          </w:p>
          <w:p>
            <w:pPr>
              <w:spacing w:before="0" w:after="30"/>
              <w:jc w:val="left"/>
            </w:pPr>
            <w:r>
              <w:rPr>
                <w:b w:val="0"/>
                <w:i w:val="0"/>
                <w:sz w:val="18"/>
              </w:rPr>
              <w:t>Month 1 review against the scoreboard</w:t>
            </w:r>
          </w:p>
        </w:tc>
        <w:tc>
          <w:tcPr>
            <w:tcW w:type="dxa" w:w="1620"/>
            <w:shd w:val="clear" w:color="auto" w:fill="EEF3F1"/>
            <w:tcBorders>
              <w:bottom w:val="single" w:sz="2" w:space="0" w:color="B9C4BD"/>
            </w:tcBorders>
          </w:tcPr>
          <w:p>
            <w:pPr>
              <w:spacing w:before="30" w:after="30"/>
              <w:jc w:val="left"/>
            </w:pPr>
            <w:r/>
            <w:r>
              <w:rPr>
                <w:b w:val="0"/>
                <w:i w:val="0"/>
                <w:sz w:val="18"/>
              </w:rPr>
              <w:t>TJ, Logan</w:t>
            </w:r>
          </w:p>
        </w:tc>
      </w:tr>
      <w:tr>
        <w:tc>
          <w:tcPr>
            <w:tcW w:type="dxa" w:w="1296"/>
            <w:tcBorders>
              <w:bottom w:val="single" w:sz="2" w:space="0" w:color="B9C4BD"/>
            </w:tcBorders>
          </w:tcPr>
          <w:p>
            <w:pPr>
              <w:spacing w:before="30" w:after="30"/>
              <w:jc w:val="left"/>
            </w:pPr>
            <w:r/>
            <w:r>
              <w:rPr>
                <w:b/>
                <w:i w:val="0"/>
                <w:color w:val="14453F"/>
                <w:sz w:val="18"/>
              </w:rPr>
              <w:t>Week 6</w:t>
            </w:r>
          </w:p>
          <w:p>
            <w:pPr>
              <w:spacing w:before="0" w:after="30"/>
              <w:jc w:val="left"/>
            </w:pPr>
            <w:r>
              <w:rPr>
                <w:b w:val="0"/>
                <w:i w:val="0"/>
                <w:sz w:val="18"/>
              </w:rPr>
              <w:t>Oct 5–9</w:t>
            </w:r>
          </w:p>
        </w:tc>
        <w:tc>
          <w:tcPr>
            <w:tcW w:type="dxa" w:w="2376"/>
            <w:tcBorders>
              <w:bottom w:val="single" w:sz="2" w:space="0" w:color="B9C4BD"/>
            </w:tcBorders>
          </w:tcPr>
          <w:p>
            <w:pPr>
              <w:spacing w:before="30" w:after="30"/>
              <w:jc w:val="left"/>
            </w:pPr>
            <w:r/>
            <w:r>
              <w:rPr>
                <w:b/>
                <w:i w:val="0"/>
                <w:color w:val="14453F"/>
                <w:sz w:val="18"/>
              </w:rPr>
              <w:t>Make delivery repeatable</w:t>
            </w:r>
          </w:p>
        </w:tc>
        <w:tc>
          <w:tcPr>
            <w:tcW w:type="dxa" w:w="5508"/>
            <w:tcBorders>
              <w:bottom w:val="single" w:sz="2" w:space="0" w:color="B9C4BD"/>
            </w:tcBorders>
          </w:tcPr>
          <w:p>
            <w:pPr>
              <w:spacing w:before="30" w:after="30"/>
              <w:jc w:val="left"/>
            </w:pPr>
            <w:r/>
            <w:r>
              <w:rPr>
                <w:b w:val="0"/>
                <w:i w:val="0"/>
                <w:sz w:val="18"/>
              </w:rPr>
              <w:t>Simplify delivery based on what the first customers actually needed</w:t>
            </w:r>
          </w:p>
          <w:p>
            <w:pPr>
              <w:spacing w:before="0" w:after="30"/>
              <w:jc w:val="left"/>
            </w:pPr>
            <w:r>
              <w:rPr>
                <w:b w:val="0"/>
                <w:i w:val="0"/>
                <w:sz w:val="18"/>
              </w:rPr>
              <w:t>Continue buyer interviews</w:t>
            </w:r>
          </w:p>
          <w:p>
            <w:pPr>
              <w:spacing w:before="0" w:after="30"/>
              <w:jc w:val="left"/>
            </w:pPr>
            <w:r>
              <w:rPr>
                <w:b w:val="0"/>
                <w:i w:val="0"/>
                <w:sz w:val="18"/>
              </w:rPr>
              <w:t>Begin verification and validation planning for the critical workflows</w:t>
            </w:r>
          </w:p>
        </w:tc>
        <w:tc>
          <w:tcPr>
            <w:tcW w:type="dxa" w:w="1620"/>
            <w:tcBorders>
              <w:bottom w:val="single" w:sz="2" w:space="0" w:color="B9C4BD"/>
            </w:tcBorders>
          </w:tcPr>
          <w:p>
            <w:pPr>
              <w:spacing w:before="30" w:after="30"/>
              <w:jc w:val="left"/>
            </w:pPr>
            <w:r/>
            <w:r>
              <w:rPr>
                <w:b w:val="0"/>
                <w:i w:val="0"/>
                <w:sz w:val="18"/>
              </w:rPr>
              <w:t>TJ</w:t>
            </w:r>
          </w:p>
        </w:tc>
      </w:tr>
      <w:tr>
        <w:tc>
          <w:tcPr>
            <w:tcW w:type="dxa" w:w="1296"/>
            <w:tcBorders>
              <w:bottom w:val="single" w:sz="2" w:space="0" w:color="B9C4BD"/>
            </w:tcBorders>
          </w:tcPr>
          <w:p>
            <w:pPr>
              <w:spacing w:before="30" w:after="30"/>
              <w:jc w:val="left"/>
            </w:pPr>
            <w:r/>
            <w:r>
              <w:rPr>
                <w:b/>
                <w:i w:val="0"/>
                <w:color w:val="14453F"/>
                <w:sz w:val="18"/>
              </w:rPr>
              <w:t>Week 7</w:t>
            </w:r>
          </w:p>
          <w:p>
            <w:pPr>
              <w:spacing w:before="0" w:after="30"/>
              <w:jc w:val="left"/>
            </w:pPr>
            <w:r>
              <w:rPr>
                <w:b w:val="0"/>
                <w:i w:val="0"/>
                <w:sz w:val="18"/>
              </w:rPr>
              <w:t>Oct 12–16</w:t>
            </w:r>
          </w:p>
        </w:tc>
        <w:tc>
          <w:tcPr>
            <w:tcW w:type="dxa" w:w="2376"/>
            <w:tcBorders>
              <w:bottom w:val="single" w:sz="2" w:space="0" w:color="B9C4BD"/>
            </w:tcBorders>
          </w:tcPr>
          <w:p>
            <w:pPr>
              <w:spacing w:before="30" w:after="30"/>
              <w:jc w:val="left"/>
            </w:pPr>
            <w:r/>
            <w:r>
              <w:rPr>
                <w:b/>
                <w:i w:val="0"/>
                <w:color w:val="14453F"/>
                <w:sz w:val="18"/>
              </w:rPr>
              <w:t>Repeat purchase</w:t>
            </w:r>
          </w:p>
        </w:tc>
        <w:tc>
          <w:tcPr>
            <w:tcW w:type="dxa" w:w="5508"/>
            <w:tcBorders>
              <w:bottom w:val="single" w:sz="2" w:space="0" w:color="B9C4BD"/>
            </w:tcBorders>
          </w:tcPr>
          <w:p>
            <w:pPr>
              <w:spacing w:before="30" w:after="30"/>
              <w:jc w:val="left"/>
            </w:pPr>
            <w:r/>
            <w:r>
              <w:rPr>
                <w:b w:val="0"/>
                <w:i w:val="0"/>
                <w:sz w:val="18"/>
              </w:rPr>
              <w:t>Convert a second cohort of providers and look for the first repeat purchase</w:t>
            </w:r>
          </w:p>
          <w:p>
            <w:pPr>
              <w:spacing w:before="0" w:after="30"/>
              <w:jc w:val="left"/>
            </w:pPr>
            <w:r>
              <w:rPr>
                <w:b w:val="0"/>
                <w:i w:val="0"/>
                <w:sz w:val="18"/>
              </w:rPr>
              <w:t>Continue buyer interviews</w:t>
            </w:r>
          </w:p>
          <w:p>
            <w:pPr>
              <w:spacing w:before="0" w:after="30"/>
              <w:jc w:val="left"/>
            </w:pPr>
            <w:r>
              <w:rPr>
                <w:b w:val="0"/>
                <w:i w:val="0"/>
                <w:sz w:val="18"/>
              </w:rPr>
              <w:t>Draft the revised CRP aim architecture from what buyers are saying</w:t>
            </w:r>
          </w:p>
        </w:tc>
        <w:tc>
          <w:tcPr>
            <w:tcW w:type="dxa" w:w="1620"/>
            <w:tcBorders>
              <w:bottom w:val="single" w:sz="2" w:space="0" w:color="B9C4BD"/>
            </w:tcBorders>
          </w:tcPr>
          <w:p>
            <w:pPr>
              <w:spacing w:before="30" w:after="30"/>
              <w:jc w:val="left"/>
            </w:pPr>
            <w:r/>
            <w:r>
              <w:rPr>
                <w:b w:val="0"/>
                <w:i w:val="0"/>
                <w:sz w:val="18"/>
              </w:rPr>
              <w:t>TJ, Logan</w:t>
            </w:r>
          </w:p>
        </w:tc>
      </w:tr>
      <w:tr>
        <w:tc>
          <w:tcPr>
            <w:tcW w:type="dxa" w:w="1296"/>
            <w:tcBorders>
              <w:bottom w:val="single" w:sz="2" w:space="0" w:color="B9C4BD"/>
            </w:tcBorders>
          </w:tcPr>
          <w:p>
            <w:pPr>
              <w:spacing w:before="30" w:after="30"/>
              <w:jc w:val="left"/>
            </w:pPr>
            <w:r/>
            <w:r>
              <w:rPr>
                <w:b/>
                <w:i w:val="0"/>
                <w:color w:val="14453F"/>
                <w:sz w:val="18"/>
              </w:rPr>
              <w:t>Week 8</w:t>
            </w:r>
          </w:p>
          <w:p>
            <w:pPr>
              <w:spacing w:before="0" w:after="30"/>
              <w:jc w:val="left"/>
            </w:pPr>
            <w:r>
              <w:rPr>
                <w:b w:val="0"/>
                <w:i w:val="0"/>
                <w:sz w:val="18"/>
              </w:rPr>
              <w:t>Oct 19–23</w:t>
            </w:r>
          </w:p>
        </w:tc>
        <w:tc>
          <w:tcPr>
            <w:tcW w:type="dxa" w:w="2376"/>
            <w:tcBorders>
              <w:bottom w:val="single" w:sz="2" w:space="0" w:color="B9C4BD"/>
            </w:tcBorders>
          </w:tcPr>
          <w:p>
            <w:pPr>
              <w:spacing w:before="30" w:after="30"/>
              <w:jc w:val="left"/>
            </w:pPr>
            <w:r/>
            <w:r>
              <w:rPr>
                <w:b/>
                <w:i w:val="0"/>
                <w:color w:val="14453F"/>
                <w:sz w:val="18"/>
              </w:rPr>
              <w:t>Evidence requirements converge</w:t>
            </w:r>
          </w:p>
        </w:tc>
        <w:tc>
          <w:tcPr>
            <w:tcW w:type="dxa" w:w="5508"/>
            <w:tcBorders>
              <w:bottom w:val="single" w:sz="2" w:space="0" w:color="B9C4BD"/>
            </w:tcBorders>
          </w:tcPr>
          <w:p>
            <w:pPr>
              <w:spacing w:before="30" w:after="30"/>
              <w:jc w:val="left"/>
            </w:pPr>
            <w:r/>
            <w:r>
              <w:rPr>
                <w:b w:val="0"/>
                <w:i w:val="0"/>
                <w:sz w:val="18"/>
              </w:rPr>
              <w:t>Write up the convergent buyer evidence requirements</w:t>
            </w:r>
          </w:p>
          <w:p>
            <w:pPr>
              <w:spacing w:before="0" w:after="30"/>
              <w:jc w:val="left"/>
            </w:pPr>
            <w:r>
              <w:rPr>
                <w:b w:val="0"/>
                <w:i w:val="0"/>
                <w:sz w:val="18"/>
              </w:rPr>
              <w:t>First investor update, using observed traction</w:t>
            </w:r>
          </w:p>
          <w:p>
            <w:pPr>
              <w:spacing w:before="0" w:after="30"/>
              <w:jc w:val="left"/>
            </w:pPr>
            <w:r>
              <w:rPr>
                <w:b w:val="0"/>
                <w:i w:val="0"/>
                <w:sz w:val="18"/>
              </w:rPr>
              <w:t>Continue the execution-capability build</w:t>
            </w:r>
          </w:p>
        </w:tc>
        <w:tc>
          <w:tcPr>
            <w:tcW w:type="dxa" w:w="1620"/>
            <w:tcBorders>
              <w:bottom w:val="single" w:sz="2" w:space="0" w:color="B9C4BD"/>
            </w:tcBorders>
          </w:tcPr>
          <w:p>
            <w:pPr>
              <w:spacing w:before="30" w:after="30"/>
              <w:jc w:val="left"/>
            </w:pPr>
            <w:r/>
            <w:r>
              <w:rPr>
                <w:b w:val="0"/>
                <w:i w:val="0"/>
                <w:sz w:val="18"/>
              </w:rPr>
              <w:t>Logan, David</w:t>
            </w:r>
          </w:p>
        </w:tc>
      </w:tr>
      <w:tr>
        <w:tc>
          <w:tcPr>
            <w:tcW w:type="dxa" w:w="1296"/>
            <w:shd w:val="clear" w:color="auto" w:fill="EEF3F1"/>
            <w:tcBorders>
              <w:bottom w:val="single" w:sz="2" w:space="0" w:color="B9C4BD"/>
            </w:tcBorders>
          </w:tcPr>
          <w:p>
            <w:pPr>
              <w:spacing w:before="30" w:after="30"/>
              <w:jc w:val="left"/>
            </w:pPr>
            <w:r/>
            <w:r>
              <w:rPr>
                <w:b/>
                <w:i w:val="0"/>
                <w:color w:val="14453F"/>
                <w:sz w:val="18"/>
              </w:rPr>
              <w:t>Week 9</w:t>
            </w:r>
          </w:p>
          <w:p>
            <w:pPr>
              <w:spacing w:before="0" w:after="30"/>
              <w:jc w:val="left"/>
            </w:pPr>
            <w:r>
              <w:rPr>
                <w:b w:val="0"/>
                <w:i w:val="0"/>
                <w:sz w:val="18"/>
              </w:rPr>
              <w:t>Oct 26–30</w:t>
            </w:r>
          </w:p>
        </w:tc>
        <w:tc>
          <w:tcPr>
            <w:tcW w:type="dxa" w:w="2376"/>
            <w:shd w:val="clear" w:color="auto" w:fill="EEF3F1"/>
            <w:tcBorders>
              <w:bottom w:val="single" w:sz="2" w:space="0" w:color="B9C4BD"/>
            </w:tcBorders>
          </w:tcPr>
          <w:p>
            <w:pPr>
              <w:spacing w:before="30" w:after="30"/>
              <w:jc w:val="left"/>
            </w:pPr>
            <w:r/>
            <w:r>
              <w:rPr>
                <w:b/>
                <w:i w:val="0"/>
                <w:color w:val="14453F"/>
                <w:sz w:val="18"/>
              </w:rPr>
              <w:t>Month 2 review and conference prep</w:t>
            </w:r>
          </w:p>
        </w:tc>
        <w:tc>
          <w:tcPr>
            <w:tcW w:type="dxa" w:w="5508"/>
            <w:shd w:val="clear" w:color="auto" w:fill="EEF3F1"/>
            <w:tcBorders>
              <w:bottom w:val="single" w:sz="2" w:space="0" w:color="B9C4BD"/>
            </w:tcBorders>
          </w:tcPr>
          <w:p>
            <w:pPr>
              <w:spacing w:before="30" w:after="30"/>
              <w:jc w:val="left"/>
            </w:pPr>
            <w:r/>
            <w:r>
              <w:rPr>
                <w:b w:val="0"/>
                <w:i w:val="0"/>
                <w:sz w:val="18"/>
              </w:rPr>
              <w:t>Month 2 review against the scoreboard</w:t>
            </w:r>
          </w:p>
          <w:p>
            <w:pPr>
              <w:spacing w:before="0" w:after="30"/>
              <w:jc w:val="left"/>
            </w:pPr>
            <w:r>
              <w:rPr>
                <w:b w:val="0"/>
                <w:i w:val="0"/>
                <w:sz w:val="18"/>
              </w:rPr>
              <w:t>Book HLTH meetings with buyers and investors</w:t>
            </w:r>
          </w:p>
          <w:p>
            <w:pPr>
              <w:spacing w:before="0" w:after="30"/>
              <w:jc w:val="left"/>
            </w:pPr>
            <w:r>
              <w:rPr>
                <w:b w:val="0"/>
                <w:i w:val="0"/>
                <w:sz w:val="18"/>
              </w:rPr>
              <w:t>Complete the critical execution capabilities</w:t>
            </w:r>
          </w:p>
        </w:tc>
        <w:tc>
          <w:tcPr>
            <w:tcW w:type="dxa" w:w="1620"/>
            <w:shd w:val="clear" w:color="auto" w:fill="EEF3F1"/>
            <w:tcBorders>
              <w:bottom w:val="single" w:sz="2" w:space="0" w:color="B9C4BD"/>
            </w:tcBorders>
          </w:tcPr>
          <w:p>
            <w:pPr>
              <w:spacing w:before="30" w:after="30"/>
              <w:jc w:val="left"/>
            </w:pPr>
            <w:r/>
            <w:r>
              <w:rPr>
                <w:b w:val="0"/>
                <w:i w:val="0"/>
                <w:sz w:val="18"/>
              </w:rPr>
              <w:t>TJ, Logan, David</w:t>
            </w:r>
          </w:p>
        </w:tc>
      </w:tr>
      <w:tr>
        <w:tc>
          <w:tcPr>
            <w:tcW w:type="dxa" w:w="1296"/>
            <w:tcBorders>
              <w:bottom w:val="single" w:sz="2" w:space="0" w:color="B9C4BD"/>
            </w:tcBorders>
          </w:tcPr>
          <w:p>
            <w:pPr>
              <w:spacing w:before="30" w:after="30"/>
              <w:jc w:val="left"/>
            </w:pPr>
            <w:r/>
            <w:r>
              <w:rPr>
                <w:b/>
                <w:i w:val="0"/>
                <w:color w:val="14453F"/>
                <w:sz w:val="18"/>
              </w:rPr>
              <w:t>Week 10</w:t>
            </w:r>
          </w:p>
          <w:p>
            <w:pPr>
              <w:spacing w:before="0" w:after="30"/>
              <w:jc w:val="left"/>
            </w:pPr>
            <w:r>
              <w:rPr>
                <w:b w:val="0"/>
                <w:i w:val="0"/>
                <w:sz w:val="18"/>
              </w:rPr>
              <w:t>Nov 2–6</w:t>
            </w:r>
          </w:p>
        </w:tc>
        <w:tc>
          <w:tcPr>
            <w:tcW w:type="dxa" w:w="2376"/>
            <w:tcBorders>
              <w:bottom w:val="single" w:sz="2" w:space="0" w:color="B9C4BD"/>
            </w:tcBorders>
          </w:tcPr>
          <w:p>
            <w:pPr>
              <w:spacing w:before="30" w:after="30"/>
              <w:jc w:val="left"/>
            </w:pPr>
            <w:r/>
            <w:r>
              <w:rPr>
                <w:b/>
                <w:i w:val="0"/>
                <w:color w:val="14453F"/>
                <w:sz w:val="18"/>
              </w:rPr>
              <w:t>HLTH</w:t>
            </w:r>
          </w:p>
        </w:tc>
        <w:tc>
          <w:tcPr>
            <w:tcW w:type="dxa" w:w="5508"/>
            <w:tcBorders>
              <w:bottom w:val="single" w:sz="2" w:space="0" w:color="B9C4BD"/>
            </w:tcBorders>
          </w:tcPr>
          <w:p>
            <w:pPr>
              <w:spacing w:before="30" w:after="30"/>
              <w:jc w:val="left"/>
            </w:pPr>
            <w:r/>
            <w:r>
              <w:rPr>
                <w:b w:val="0"/>
                <w:i w:val="0"/>
                <w:sz w:val="18"/>
              </w:rPr>
              <w:t>Institutional-buyer and investor meetings</w:t>
            </w:r>
          </w:p>
          <w:p>
            <w:pPr>
              <w:spacing w:before="0" w:after="30"/>
              <w:jc w:val="left"/>
            </w:pPr>
            <w:r>
              <w:rPr>
                <w:b w:val="0"/>
                <w:i w:val="0"/>
                <w:sz w:val="18"/>
              </w:rPr>
              <w:t>Get concrete feedback on proof-of-concept design and decision thresholds</w:t>
            </w:r>
          </w:p>
          <w:p>
            <w:pPr>
              <w:spacing w:before="0" w:after="30"/>
              <w:jc w:val="left"/>
            </w:pPr>
            <w:r>
              <w:rPr>
                <w:b w:val="0"/>
                <w:i w:val="0"/>
                <w:sz w:val="18"/>
              </w:rPr>
              <w:t>Confirm the exact conference dates and move this row if they differ</w:t>
            </w:r>
          </w:p>
        </w:tc>
        <w:tc>
          <w:tcPr>
            <w:tcW w:type="dxa" w:w="1620"/>
            <w:tcBorders>
              <w:bottom w:val="single" w:sz="2" w:space="0" w:color="B9C4BD"/>
            </w:tcBorders>
          </w:tcPr>
          <w:p>
            <w:pPr>
              <w:spacing w:before="30" w:after="30"/>
              <w:jc w:val="left"/>
            </w:pPr>
            <w:r/>
            <w:r>
              <w:rPr>
                <w:b w:val="0"/>
                <w:i w:val="0"/>
                <w:sz w:val="18"/>
              </w:rPr>
              <w:t>Logan, TJ, David</w:t>
            </w:r>
          </w:p>
        </w:tc>
      </w:tr>
      <w:tr>
        <w:tc>
          <w:tcPr>
            <w:tcW w:type="dxa" w:w="1296"/>
            <w:tcBorders>
              <w:bottom w:val="single" w:sz="2" w:space="0" w:color="B9C4BD"/>
            </w:tcBorders>
          </w:tcPr>
          <w:p>
            <w:pPr>
              <w:spacing w:before="30" w:after="30"/>
              <w:jc w:val="left"/>
            </w:pPr>
            <w:r/>
            <w:r>
              <w:rPr>
                <w:b/>
                <w:i w:val="0"/>
                <w:color w:val="14453F"/>
                <w:sz w:val="18"/>
              </w:rPr>
              <w:t>Week 11</w:t>
            </w:r>
          </w:p>
          <w:p>
            <w:pPr>
              <w:spacing w:before="0" w:after="30"/>
              <w:jc w:val="left"/>
            </w:pPr>
            <w:r>
              <w:rPr>
                <w:b w:val="0"/>
                <w:i w:val="0"/>
                <w:sz w:val="18"/>
              </w:rPr>
              <w:t>Nov 9–13</w:t>
            </w:r>
          </w:p>
        </w:tc>
        <w:tc>
          <w:tcPr>
            <w:tcW w:type="dxa" w:w="2376"/>
            <w:tcBorders>
              <w:bottom w:val="single" w:sz="2" w:space="0" w:color="B9C4BD"/>
            </w:tcBorders>
          </w:tcPr>
          <w:p>
            <w:pPr>
              <w:spacing w:before="30" w:after="30"/>
              <w:jc w:val="left"/>
            </w:pPr>
            <w:r/>
            <w:r>
              <w:rPr>
                <w:b/>
                <w:i w:val="0"/>
                <w:color w:val="14453F"/>
                <w:sz w:val="18"/>
              </w:rPr>
              <w:t>Convert the conference into commitments</w:t>
            </w:r>
          </w:p>
        </w:tc>
        <w:tc>
          <w:tcPr>
            <w:tcW w:type="dxa" w:w="5508"/>
            <w:tcBorders>
              <w:bottom w:val="single" w:sz="2" w:space="0" w:color="B9C4BD"/>
            </w:tcBorders>
          </w:tcPr>
          <w:p>
            <w:pPr>
              <w:spacing w:before="30" w:after="30"/>
              <w:jc w:val="left"/>
            </w:pPr>
            <w:r/>
            <w:r>
              <w:rPr>
                <w:b w:val="0"/>
                <w:i w:val="0"/>
                <w:sz w:val="18"/>
              </w:rPr>
              <w:t>Follow up every HLTH conversation within five days</w:t>
            </w:r>
          </w:p>
          <w:p>
            <w:pPr>
              <w:spacing w:before="0" w:after="30"/>
              <w:jc w:val="left"/>
            </w:pPr>
            <w:r>
              <w:rPr>
                <w:b w:val="0"/>
                <w:i w:val="0"/>
                <w:sz w:val="18"/>
              </w:rPr>
              <w:t>Increase the paying-provider count</w:t>
            </w:r>
          </w:p>
          <w:p>
            <w:pPr>
              <w:spacing w:before="0" w:after="30"/>
              <w:jc w:val="left"/>
            </w:pPr>
            <w:r>
              <w:rPr>
                <w:b w:val="0"/>
                <w:i w:val="0"/>
                <w:sz w:val="18"/>
              </w:rPr>
              <w:t>Begin the buyer-informed Research Strategy draft</w:t>
            </w:r>
          </w:p>
        </w:tc>
        <w:tc>
          <w:tcPr>
            <w:tcW w:type="dxa" w:w="1620"/>
            <w:tcBorders>
              <w:bottom w:val="single" w:sz="2" w:space="0" w:color="B9C4BD"/>
            </w:tcBorders>
          </w:tcPr>
          <w:p>
            <w:pPr>
              <w:spacing w:before="30" w:after="30"/>
              <w:jc w:val="left"/>
            </w:pPr>
            <w:r/>
            <w:r>
              <w:rPr>
                <w:b w:val="0"/>
                <w:i w:val="0"/>
                <w:sz w:val="18"/>
              </w:rPr>
              <w:t>All</w:t>
            </w:r>
          </w:p>
        </w:tc>
      </w:tr>
      <w:tr>
        <w:tc>
          <w:tcPr>
            <w:tcW w:type="dxa" w:w="1296"/>
            <w:tcBorders>
              <w:bottom w:val="single" w:sz="2" w:space="0" w:color="B9C4BD"/>
            </w:tcBorders>
          </w:tcPr>
          <w:p>
            <w:pPr>
              <w:spacing w:before="30" w:after="30"/>
              <w:jc w:val="left"/>
            </w:pPr>
            <w:r/>
            <w:r>
              <w:rPr>
                <w:b/>
                <w:i w:val="0"/>
                <w:color w:val="14453F"/>
                <w:sz w:val="18"/>
              </w:rPr>
              <w:t>Week 12</w:t>
            </w:r>
          </w:p>
          <w:p>
            <w:pPr>
              <w:spacing w:before="0" w:after="30"/>
              <w:jc w:val="left"/>
            </w:pPr>
            <w:r>
              <w:rPr>
                <w:b w:val="0"/>
                <w:i w:val="0"/>
                <w:sz w:val="18"/>
              </w:rPr>
              <w:t>Nov 16–20</w:t>
            </w:r>
          </w:p>
        </w:tc>
        <w:tc>
          <w:tcPr>
            <w:tcW w:type="dxa" w:w="2376"/>
            <w:tcBorders>
              <w:bottom w:val="single" w:sz="2" w:space="0" w:color="B9C4BD"/>
            </w:tcBorders>
          </w:tcPr>
          <w:p>
            <w:pPr>
              <w:spacing w:before="30" w:after="30"/>
              <w:jc w:val="left"/>
            </w:pPr>
            <w:r/>
            <w:r>
              <w:rPr>
                <w:b/>
                <w:i w:val="0"/>
                <w:color w:val="14453F"/>
                <w:sz w:val="18"/>
              </w:rPr>
              <w:t>Draft the application</w:t>
            </w:r>
          </w:p>
        </w:tc>
        <w:tc>
          <w:tcPr>
            <w:tcW w:type="dxa" w:w="5508"/>
            <w:tcBorders>
              <w:bottom w:val="single" w:sz="2" w:space="0" w:color="B9C4BD"/>
            </w:tcBorders>
          </w:tcPr>
          <w:p>
            <w:pPr>
              <w:spacing w:before="30" w:after="30"/>
              <w:jc w:val="left"/>
            </w:pPr>
            <w:r/>
            <w:r>
              <w:rPr>
                <w:b w:val="0"/>
                <w:i w:val="0"/>
                <w:sz w:val="18"/>
              </w:rPr>
              <w:t>Research Strategy draft on the new architecture</w:t>
            </w:r>
          </w:p>
          <w:p>
            <w:pPr>
              <w:spacing w:before="0" w:after="30"/>
              <w:jc w:val="left"/>
            </w:pPr>
            <w:r>
              <w:rPr>
                <w:b w:val="0"/>
                <w:i w:val="0"/>
                <w:sz w:val="18"/>
              </w:rPr>
              <w:t>Commercialization Plan draft</w:t>
            </w:r>
          </w:p>
          <w:p>
            <w:pPr>
              <w:spacing w:before="0" w:after="30"/>
              <w:jc w:val="left"/>
            </w:pPr>
            <w:r>
              <w:rPr>
                <w:b w:val="0"/>
                <w:i w:val="0"/>
                <w:sz w:val="18"/>
              </w:rPr>
              <w:t>Request support letters</w:t>
            </w:r>
          </w:p>
        </w:tc>
        <w:tc>
          <w:tcPr>
            <w:tcW w:type="dxa" w:w="1620"/>
            <w:tcBorders>
              <w:bottom w:val="single" w:sz="2" w:space="0" w:color="B9C4BD"/>
            </w:tcBorders>
          </w:tcPr>
          <w:p>
            <w:pPr>
              <w:spacing w:before="30" w:after="30"/>
              <w:jc w:val="left"/>
            </w:pPr>
            <w:r/>
            <w:r>
              <w:rPr>
                <w:b w:val="0"/>
                <w:i w:val="0"/>
                <w:sz w:val="18"/>
              </w:rPr>
              <w:t>Logan</w:t>
            </w:r>
          </w:p>
        </w:tc>
      </w:tr>
      <w:tr>
        <w:tc>
          <w:tcPr>
            <w:tcW w:type="dxa" w:w="1296"/>
            <w:tcBorders>
              <w:bottom w:val="single" w:sz="2" w:space="0" w:color="B9C4BD"/>
            </w:tcBorders>
          </w:tcPr>
          <w:p>
            <w:pPr>
              <w:spacing w:before="30" w:after="30"/>
              <w:jc w:val="left"/>
            </w:pPr>
            <w:r/>
            <w:r>
              <w:rPr>
                <w:b/>
                <w:i w:val="0"/>
                <w:color w:val="14453F"/>
                <w:sz w:val="18"/>
              </w:rPr>
              <w:t>Week 13</w:t>
            </w:r>
          </w:p>
          <w:p>
            <w:pPr>
              <w:spacing w:before="0" w:after="30"/>
              <w:jc w:val="left"/>
            </w:pPr>
            <w:r>
              <w:rPr>
                <w:b w:val="0"/>
                <w:i w:val="0"/>
                <w:sz w:val="18"/>
              </w:rPr>
              <w:t>Nov 23–27</w:t>
            </w:r>
          </w:p>
        </w:tc>
        <w:tc>
          <w:tcPr>
            <w:tcW w:type="dxa" w:w="2376"/>
            <w:tcBorders>
              <w:bottom w:val="single" w:sz="2" w:space="0" w:color="B9C4BD"/>
            </w:tcBorders>
          </w:tcPr>
          <w:p>
            <w:pPr>
              <w:spacing w:before="30" w:after="30"/>
              <w:jc w:val="left"/>
            </w:pPr>
            <w:r/>
            <w:r>
              <w:rPr>
                <w:b/>
                <w:i w:val="0"/>
                <w:color w:val="14453F"/>
                <w:sz w:val="18"/>
              </w:rPr>
              <w:t>Short week: hold the line</w:t>
            </w:r>
          </w:p>
        </w:tc>
        <w:tc>
          <w:tcPr>
            <w:tcW w:type="dxa" w:w="5508"/>
            <w:tcBorders>
              <w:bottom w:val="single" w:sz="2" w:space="0" w:color="B9C4BD"/>
            </w:tcBorders>
          </w:tcPr>
          <w:p>
            <w:pPr>
              <w:spacing w:before="30" w:after="30"/>
              <w:jc w:val="left"/>
            </w:pPr>
            <w:r/>
            <w:r>
              <w:rPr>
                <w:b w:val="0"/>
                <w:i w:val="0"/>
                <w:sz w:val="18"/>
              </w:rPr>
              <w:t>Thanksgiving. Keep the sales cadence and chase letters</w:t>
            </w:r>
          </w:p>
          <w:p>
            <w:pPr>
              <w:spacing w:before="0" w:after="30"/>
              <w:jc w:val="left"/>
            </w:pPr>
            <w:r>
              <w:rPr>
                <w:b w:val="0"/>
                <w:i w:val="0"/>
                <w:sz w:val="18"/>
              </w:rPr>
              <w:t>Start nothing new</w:t>
            </w:r>
          </w:p>
        </w:tc>
        <w:tc>
          <w:tcPr>
            <w:tcW w:type="dxa" w:w="1620"/>
            <w:tcBorders>
              <w:bottom w:val="single" w:sz="2" w:space="0" w:color="B9C4BD"/>
            </w:tcBorders>
          </w:tcPr>
          <w:p>
            <w:pPr>
              <w:spacing w:before="30" w:after="30"/>
              <w:jc w:val="left"/>
            </w:pPr>
            <w:r/>
            <w:r>
              <w:rPr>
                <w:b w:val="0"/>
                <w:i w:val="0"/>
                <w:sz w:val="18"/>
              </w:rPr>
              <w:t>TJ</w:t>
            </w:r>
          </w:p>
        </w:tc>
      </w:tr>
      <w:tr>
        <w:tc>
          <w:tcPr>
            <w:tcW w:type="dxa" w:w="1296"/>
            <w:tcBorders>
              <w:bottom w:val="single" w:sz="2" w:space="0" w:color="B9C4BD"/>
            </w:tcBorders>
          </w:tcPr>
          <w:p>
            <w:pPr>
              <w:spacing w:before="30" w:after="30"/>
              <w:jc w:val="left"/>
            </w:pPr>
            <w:r/>
            <w:r>
              <w:rPr>
                <w:b/>
                <w:i w:val="0"/>
                <w:color w:val="14453F"/>
                <w:sz w:val="18"/>
              </w:rPr>
              <w:t>Week 14</w:t>
            </w:r>
          </w:p>
          <w:p>
            <w:pPr>
              <w:spacing w:before="0" w:after="30"/>
              <w:jc w:val="left"/>
            </w:pPr>
            <w:r>
              <w:rPr>
                <w:b w:val="0"/>
                <w:i w:val="0"/>
                <w:sz w:val="18"/>
              </w:rPr>
              <w:t>Nov 30 to Dec 4</w:t>
            </w:r>
          </w:p>
        </w:tc>
        <w:tc>
          <w:tcPr>
            <w:tcW w:type="dxa" w:w="2376"/>
            <w:tcBorders>
              <w:bottom w:val="single" w:sz="2" w:space="0" w:color="B9C4BD"/>
            </w:tcBorders>
          </w:tcPr>
          <w:p>
            <w:pPr>
              <w:spacing w:before="30" w:after="30"/>
              <w:jc w:val="left"/>
            </w:pPr>
            <w:r/>
            <w:r>
              <w:rPr>
                <w:b/>
                <w:i w:val="0"/>
                <w:color w:val="14453F"/>
                <w:sz w:val="18"/>
              </w:rPr>
              <w:t>Prove retention</w:t>
            </w:r>
          </w:p>
        </w:tc>
        <w:tc>
          <w:tcPr>
            <w:tcW w:type="dxa" w:w="5508"/>
            <w:tcBorders>
              <w:bottom w:val="single" w:sz="2" w:space="0" w:color="B9C4BD"/>
            </w:tcBorders>
          </w:tcPr>
          <w:p>
            <w:pPr>
              <w:spacing w:before="30" w:after="30"/>
              <w:jc w:val="left"/>
            </w:pPr>
            <w:r/>
            <w:r>
              <w:rPr>
                <w:b w:val="0"/>
                <w:i w:val="0"/>
                <w:sz w:val="18"/>
              </w:rPr>
              <w:t>Show repeat purchasing and retention; compute acquisition cost, delivery cost, and margin</w:t>
            </w:r>
          </w:p>
          <w:p>
            <w:pPr>
              <w:spacing w:before="0" w:after="30"/>
              <w:jc w:val="left"/>
            </w:pPr>
            <w:r>
              <w:rPr>
                <w:b w:val="0"/>
                <w:i w:val="0"/>
                <w:sz w:val="18"/>
              </w:rPr>
              <w:t>Consolidate the preliminary CareNavigator evidence</w:t>
            </w:r>
          </w:p>
          <w:p>
            <w:pPr>
              <w:spacing w:before="0" w:after="30"/>
              <w:jc w:val="left"/>
            </w:pPr>
            <w:r>
              <w:rPr>
                <w:b w:val="0"/>
                <w:i w:val="0"/>
                <w:sz w:val="18"/>
              </w:rPr>
              <w:t>Full internal read of both drafts</w:t>
            </w:r>
          </w:p>
        </w:tc>
        <w:tc>
          <w:tcPr>
            <w:tcW w:type="dxa" w:w="1620"/>
            <w:tcBorders>
              <w:bottom w:val="single" w:sz="2" w:space="0" w:color="B9C4BD"/>
            </w:tcBorders>
          </w:tcPr>
          <w:p>
            <w:pPr>
              <w:spacing w:before="30" w:after="30"/>
              <w:jc w:val="left"/>
            </w:pPr>
            <w:r/>
            <w:r>
              <w:rPr>
                <w:b w:val="0"/>
                <w:i w:val="0"/>
                <w:sz w:val="18"/>
              </w:rPr>
              <w:t>TJ, Logan</w:t>
            </w:r>
          </w:p>
        </w:tc>
      </w:tr>
      <w:tr>
        <w:tc>
          <w:tcPr>
            <w:tcW w:type="dxa" w:w="1296"/>
            <w:tcBorders>
              <w:bottom w:val="single" w:sz="2" w:space="0" w:color="B9C4BD"/>
            </w:tcBorders>
          </w:tcPr>
          <w:p>
            <w:pPr>
              <w:spacing w:before="30" w:after="30"/>
              <w:jc w:val="left"/>
            </w:pPr>
            <w:r/>
            <w:r>
              <w:rPr>
                <w:b/>
                <w:i w:val="0"/>
                <w:color w:val="14453F"/>
                <w:sz w:val="18"/>
              </w:rPr>
              <w:t>Week 15</w:t>
            </w:r>
          </w:p>
          <w:p>
            <w:pPr>
              <w:spacing w:before="0" w:after="30"/>
              <w:jc w:val="left"/>
            </w:pPr>
            <w:r>
              <w:rPr>
                <w:b w:val="0"/>
                <w:i w:val="0"/>
                <w:sz w:val="18"/>
              </w:rPr>
              <w:t>Dec 7–11</w:t>
            </w:r>
          </w:p>
        </w:tc>
        <w:tc>
          <w:tcPr>
            <w:tcW w:type="dxa" w:w="2376"/>
            <w:tcBorders>
              <w:bottom w:val="single" w:sz="2" w:space="0" w:color="B9C4BD"/>
            </w:tcBorders>
          </w:tcPr>
          <w:p>
            <w:pPr>
              <w:spacing w:before="30" w:after="30"/>
              <w:jc w:val="left"/>
            </w:pPr>
            <w:r/>
            <w:r>
              <w:rPr>
                <w:b/>
                <w:i w:val="0"/>
                <w:color w:val="14453F"/>
                <w:sz w:val="18"/>
              </w:rPr>
              <w:t>Lock the evidence</w:t>
            </w:r>
          </w:p>
        </w:tc>
        <w:tc>
          <w:tcPr>
            <w:tcW w:type="dxa" w:w="5508"/>
            <w:tcBorders>
              <w:bottom w:val="single" w:sz="2" w:space="0" w:color="B9C4BD"/>
            </w:tcBorders>
          </w:tcPr>
          <w:p>
            <w:pPr>
              <w:spacing w:before="30" w:after="30"/>
              <w:jc w:val="left"/>
            </w:pPr>
            <w:r/>
            <w:r>
              <w:rPr>
                <w:b w:val="0"/>
                <w:i w:val="0"/>
                <w:sz w:val="18"/>
              </w:rPr>
              <w:t>Freeze the traction numbers that go into the application</w:t>
            </w:r>
          </w:p>
          <w:p>
            <w:pPr>
              <w:spacing w:before="0" w:after="30"/>
              <w:jc w:val="left"/>
            </w:pPr>
            <w:r>
              <w:rPr>
                <w:b w:val="0"/>
                <w:i w:val="0"/>
                <w:sz w:val="18"/>
              </w:rPr>
              <w:t>Identify post-CRP proof-of-concept candidate organizations</w:t>
            </w:r>
          </w:p>
          <w:p>
            <w:pPr>
              <w:spacing w:before="0" w:after="30"/>
              <w:jc w:val="left"/>
            </w:pPr>
            <w:r>
              <w:rPr>
                <w:b w:val="0"/>
                <w:i w:val="0"/>
                <w:sz w:val="18"/>
              </w:rPr>
              <w:t>Second draft of both documents</w:t>
            </w:r>
          </w:p>
        </w:tc>
        <w:tc>
          <w:tcPr>
            <w:tcW w:type="dxa" w:w="1620"/>
            <w:tcBorders>
              <w:bottom w:val="single" w:sz="2" w:space="0" w:color="B9C4BD"/>
            </w:tcBorders>
          </w:tcPr>
          <w:p>
            <w:pPr>
              <w:spacing w:before="30" w:after="30"/>
              <w:jc w:val="left"/>
            </w:pPr>
            <w:r/>
            <w:r>
              <w:rPr>
                <w:b w:val="0"/>
                <w:i w:val="0"/>
                <w:sz w:val="18"/>
              </w:rPr>
              <w:t>Logan</w:t>
            </w:r>
          </w:p>
        </w:tc>
      </w:tr>
      <w:tr>
        <w:tc>
          <w:tcPr>
            <w:tcW w:type="dxa" w:w="1296"/>
            <w:shd w:val="clear" w:color="auto" w:fill="EEF3F1"/>
            <w:tcBorders>
              <w:bottom w:val="single" w:sz="2" w:space="0" w:color="B9C4BD"/>
            </w:tcBorders>
          </w:tcPr>
          <w:p>
            <w:pPr>
              <w:spacing w:before="30" w:after="30"/>
              <w:jc w:val="left"/>
            </w:pPr>
            <w:r/>
            <w:r>
              <w:rPr>
                <w:b/>
                <w:i w:val="0"/>
                <w:color w:val="14453F"/>
                <w:sz w:val="18"/>
              </w:rPr>
              <w:t>Week 16</w:t>
            </w:r>
          </w:p>
          <w:p>
            <w:pPr>
              <w:spacing w:before="0" w:after="30"/>
              <w:jc w:val="left"/>
            </w:pPr>
            <w:r>
              <w:rPr>
                <w:b w:val="0"/>
                <w:i w:val="0"/>
                <w:sz w:val="18"/>
              </w:rPr>
              <w:t>Dec 14–18</w:t>
            </w:r>
          </w:p>
        </w:tc>
        <w:tc>
          <w:tcPr>
            <w:tcW w:type="dxa" w:w="2376"/>
            <w:shd w:val="clear" w:color="auto" w:fill="EEF3F1"/>
            <w:tcBorders>
              <w:bottom w:val="single" w:sz="2" w:space="0" w:color="B9C4BD"/>
            </w:tcBorders>
          </w:tcPr>
          <w:p>
            <w:pPr>
              <w:spacing w:before="30" w:after="30"/>
              <w:jc w:val="left"/>
            </w:pPr>
            <w:r/>
            <w:r>
              <w:rPr>
                <w:b/>
                <w:i w:val="0"/>
                <w:color w:val="14453F"/>
                <w:sz w:val="18"/>
              </w:rPr>
              <w:t>Everything complete</w:t>
            </w:r>
          </w:p>
        </w:tc>
        <w:tc>
          <w:tcPr>
            <w:tcW w:type="dxa" w:w="5508"/>
            <w:shd w:val="clear" w:color="auto" w:fill="EEF3F1"/>
            <w:tcBorders>
              <w:bottom w:val="single" w:sz="2" w:space="0" w:color="B9C4BD"/>
            </w:tcBorders>
          </w:tcPr>
          <w:p>
            <w:pPr>
              <w:spacing w:before="30" w:after="30"/>
              <w:jc w:val="left"/>
            </w:pPr>
            <w:r/>
            <w:r>
              <w:rPr>
                <w:b w:val="0"/>
                <w:i w:val="0"/>
                <w:sz w:val="18"/>
              </w:rPr>
              <w:t>All support letters in hand</w:t>
            </w:r>
          </w:p>
          <w:p>
            <w:pPr>
              <w:spacing w:before="0" w:after="30"/>
              <w:jc w:val="left"/>
            </w:pPr>
            <w:r>
              <w:rPr>
                <w:b w:val="0"/>
                <w:i w:val="0"/>
                <w:sz w:val="18"/>
              </w:rPr>
              <w:t>All sections complete and internally reviewed</w:t>
            </w:r>
          </w:p>
          <w:p>
            <w:pPr>
              <w:spacing w:before="0" w:after="30"/>
              <w:jc w:val="left"/>
            </w:pPr>
            <w:r>
              <w:rPr>
                <w:b w:val="0"/>
                <w:i w:val="0"/>
                <w:sz w:val="18"/>
              </w:rPr>
              <w:t>Final scoreboard: report actual traction transparently</w:t>
            </w:r>
          </w:p>
        </w:tc>
        <w:tc>
          <w:tcPr>
            <w:tcW w:type="dxa" w:w="1620"/>
            <w:shd w:val="clear" w:color="auto" w:fill="EEF3F1"/>
            <w:tcBorders>
              <w:bottom w:val="single" w:sz="2" w:space="0" w:color="B9C4BD"/>
            </w:tcBorders>
          </w:tcPr>
          <w:p>
            <w:pPr>
              <w:spacing w:before="30" w:after="30"/>
              <w:jc w:val="left"/>
            </w:pPr>
            <w:r/>
            <w:r>
              <w:rPr>
                <w:b w:val="0"/>
                <w:i w:val="0"/>
                <w:sz w:val="18"/>
              </w:rPr>
              <w:t>Logan, TJ, David</w:t>
            </w:r>
          </w:p>
        </w:tc>
      </w:tr>
      <w:tr>
        <w:tc>
          <w:tcPr>
            <w:tcW w:type="dxa" w:w="1296"/>
            <w:tcBorders>
              <w:bottom w:val="single" w:sz="2" w:space="0" w:color="B9C4BD"/>
            </w:tcBorders>
          </w:tcPr>
          <w:p>
            <w:pPr>
              <w:spacing w:before="30" w:after="30"/>
              <w:jc w:val="left"/>
            </w:pPr>
            <w:r/>
            <w:r>
              <w:rPr>
                <w:b/>
                <w:i w:val="0"/>
                <w:color w:val="14453F"/>
                <w:sz w:val="18"/>
              </w:rPr>
              <w:t>Week 17</w:t>
            </w:r>
          </w:p>
          <w:p>
            <w:pPr>
              <w:spacing w:before="0" w:after="30"/>
              <w:jc w:val="left"/>
            </w:pPr>
            <w:r>
              <w:rPr>
                <w:b w:val="0"/>
                <w:i w:val="0"/>
                <w:sz w:val="18"/>
              </w:rPr>
              <w:t>Dec 21–25</w:t>
            </w:r>
          </w:p>
        </w:tc>
        <w:tc>
          <w:tcPr>
            <w:tcW w:type="dxa" w:w="2376"/>
            <w:tcBorders>
              <w:bottom w:val="single" w:sz="2" w:space="0" w:color="B9C4BD"/>
            </w:tcBorders>
          </w:tcPr>
          <w:p>
            <w:pPr>
              <w:spacing w:before="30" w:after="30"/>
              <w:jc w:val="left"/>
            </w:pPr>
            <w:r/>
            <w:r>
              <w:rPr>
                <w:b/>
                <w:i w:val="0"/>
                <w:color w:val="14453F"/>
                <w:sz w:val="18"/>
              </w:rPr>
              <w:t>Buffer only</w:t>
            </w:r>
          </w:p>
        </w:tc>
        <w:tc>
          <w:tcPr>
            <w:tcW w:type="dxa" w:w="5508"/>
            <w:tcBorders>
              <w:bottom w:val="single" w:sz="2" w:space="0" w:color="B9C4BD"/>
            </w:tcBorders>
          </w:tcPr>
          <w:p>
            <w:pPr>
              <w:spacing w:before="30" w:after="30"/>
              <w:jc w:val="left"/>
            </w:pPr>
            <w:r/>
            <w:r>
              <w:rPr>
                <w:b w:val="0"/>
                <w:i w:val="0"/>
                <w:sz w:val="18"/>
              </w:rPr>
              <w:t>Holiday week. Buffer for anything that slipped</w:t>
            </w:r>
          </w:p>
          <w:p>
            <w:pPr>
              <w:spacing w:before="0" w:after="30"/>
              <w:jc w:val="left"/>
            </w:pPr>
            <w:r>
              <w:rPr>
                <w:b w:val="0"/>
                <w:i w:val="0"/>
                <w:sz w:val="18"/>
              </w:rPr>
              <w:t>Start nothing new</w:t>
            </w:r>
          </w:p>
        </w:tc>
        <w:tc>
          <w:tcPr>
            <w:tcW w:type="dxa" w:w="1620"/>
            <w:tcBorders>
              <w:bottom w:val="single" w:sz="2" w:space="0" w:color="B9C4BD"/>
            </w:tcBorders>
          </w:tcPr>
          <w:p>
            <w:pPr>
              <w:spacing w:before="30" w:after="30"/>
              <w:jc w:val="left"/>
            </w:pPr>
            <w:r/>
            <w:r>
              <w:rPr>
                <w:b w:val="0"/>
                <w:i w:val="0"/>
                <w:sz w:val="18"/>
              </w:rPr>
              <w:t>Logan</w:t>
            </w:r>
          </w:p>
        </w:tc>
      </w:tr>
      <w:tr>
        <w:tc>
          <w:tcPr>
            <w:tcW w:type="dxa" w:w="1296"/>
            <w:shd w:val="clear" w:color="auto" w:fill="EEF3F1"/>
            <w:tcBorders>
              <w:bottom w:val="single" w:sz="8" w:space="0" w:color="14453F"/>
            </w:tcBorders>
          </w:tcPr>
          <w:p>
            <w:pPr>
              <w:spacing w:before="30" w:after="30"/>
              <w:jc w:val="left"/>
            </w:pPr>
            <w:r/>
            <w:r>
              <w:rPr>
                <w:b/>
                <w:i w:val="0"/>
                <w:color w:val="14453F"/>
                <w:sz w:val="18"/>
              </w:rPr>
              <w:t>Week 18</w:t>
            </w:r>
          </w:p>
          <w:p>
            <w:pPr>
              <w:spacing w:before="0" w:after="30"/>
              <w:jc w:val="left"/>
            </w:pPr>
            <w:r>
              <w:rPr>
                <w:b w:val="0"/>
                <w:i w:val="0"/>
                <w:sz w:val="18"/>
              </w:rPr>
              <w:t>Dec 28 to Jan 1</w:t>
            </w:r>
          </w:p>
        </w:tc>
        <w:tc>
          <w:tcPr>
            <w:tcW w:type="dxa" w:w="2376"/>
            <w:shd w:val="clear" w:color="auto" w:fill="EEF3F1"/>
            <w:tcBorders>
              <w:bottom w:val="single" w:sz="8" w:space="0" w:color="14453F"/>
            </w:tcBorders>
          </w:tcPr>
          <w:p>
            <w:pPr>
              <w:spacing w:before="30" w:after="30"/>
              <w:jc w:val="left"/>
            </w:pPr>
            <w:r/>
            <w:r>
              <w:rPr>
                <w:b/>
                <w:i w:val="0"/>
                <w:color w:val="14453F"/>
                <w:sz w:val="18"/>
              </w:rPr>
              <w:t>Submit</w:t>
            </w:r>
          </w:p>
        </w:tc>
        <w:tc>
          <w:tcPr>
            <w:tcW w:type="dxa" w:w="5508"/>
            <w:shd w:val="clear" w:color="auto" w:fill="EEF3F1"/>
            <w:tcBorders>
              <w:bottom w:val="single" w:sz="8" w:space="0" w:color="14453F"/>
            </w:tcBorders>
          </w:tcPr>
          <w:p>
            <w:pPr>
              <w:spacing w:before="30" w:after="30"/>
              <w:jc w:val="left"/>
            </w:pPr>
            <w:r/>
            <w:r>
              <w:rPr>
                <w:b w:val="0"/>
                <w:i w:val="0"/>
                <w:sz w:val="18"/>
              </w:rPr>
              <w:t>Final compliance check against the SF424 and NOFO requirements</w:t>
            </w:r>
          </w:p>
          <w:p>
            <w:pPr>
              <w:spacing w:before="0" w:after="30"/>
              <w:jc w:val="left"/>
            </w:pPr>
            <w:r>
              <w:rPr>
                <w:b w:val="0"/>
                <w:i w:val="0"/>
                <w:sz w:val="18"/>
              </w:rPr>
              <w:t>Assemble, proof, and submit</w:t>
            </w:r>
          </w:p>
        </w:tc>
        <w:tc>
          <w:tcPr>
            <w:tcW w:type="dxa" w:w="1620"/>
            <w:shd w:val="clear" w:color="auto" w:fill="EEF3F1"/>
            <w:tcBorders>
              <w:bottom w:val="single" w:sz="8" w:space="0" w:color="14453F"/>
            </w:tcBorders>
          </w:tcPr>
          <w:p>
            <w:pPr>
              <w:spacing w:before="30" w:after="30"/>
              <w:jc w:val="left"/>
            </w:pPr>
            <w:r/>
            <w:r>
              <w:rPr>
                <w:b w:val="0"/>
                <w:i w:val="0"/>
                <w:sz w:val="18"/>
              </w:rPr>
              <w:t>Logan, TJ</w:t>
            </w:r>
          </w:p>
        </w:tc>
      </w:tr>
    </w:tbl>
    <w:p>
      <w:pPr>
        <w:spacing w:before="40" w:after="120"/>
        <w:jc w:val="left"/>
      </w:pPr>
      <w:r>
        <w:rPr>
          <w:b/>
          <w:i w:val="0"/>
          <w:sz w:val="18"/>
        </w:rPr>
        <w:t>Table 1.</w:t>
      </w:r>
      <w:r>
        <w:rPr>
          <w:b w:val="0"/>
          <w:i w:val="0"/>
          <w:sz w:val="18"/>
        </w:rPr>
        <w:t xml:space="preserve"> Eighteen weeks to submission. Shaded rows are checkpoints where the plan either holds or is re-cut; the two greyed rows are holiday weeks with no new work planned into them.</w:t>
      </w:r>
    </w:p>
    <w:p>
      <w:pPr>
        <w:keepNext/>
        <w:spacing w:before="220" w:after="80"/>
        <w:jc w:val="left"/>
        <w:pBdr>
          <w:bottom w:val="single" w:sz="12" w:space="2" w:color="000000"/>
        </w:pBdr>
      </w:pPr>
      <w:r>
        <w:rPr>
          <w:b/>
        </w:rPr>
        <w:t>THE STANDING WEEKLY RHYTHM</w:t>
      </w:r>
    </w:p>
    <w:p>
      <w:pPr>
        <w:spacing w:before="160" w:after="60"/>
        <w:jc w:val="both"/>
      </w:pPr>
      <w:r>
        <w:rPr>
          <w:b w:val="0"/>
          <w:i w:val="0"/>
        </w:rPr>
        <w:t>The same three things happen every week, unchanged, all eighteen weeks. This is what makes the table above executable rather than aspirational.</w:t>
      </w:r>
    </w:p>
    <w:p>
      <w:pPr>
        <w:spacing w:after="60"/>
        <w:ind w:left="374" w:hanging="230"/>
        <w:jc w:val="both"/>
      </w:pPr>
      <w:r>
        <w:rPr>
          <w:b/>
          <w:color w:val="14453F"/>
        </w:rPr>
        <w:t xml:space="preserve">•  </w:t>
      </w:r>
      <w:r>
        <w:rPr>
          <w:b/>
          <w:i w:val="0"/>
        </w:rPr>
        <w:t>Monday, thirty minutes.</w:t>
      </w:r>
      <w:r>
        <w:rPr>
          <w:b w:val="0"/>
          <w:i w:val="0"/>
        </w:rPr>
        <w:t xml:space="preserve"> Commercialization stand-up against the dashboard: outreach, meetings, offers, conversions, active customers, delivered outcomes, repeat purchasing, revenue, and churn.</w:t>
      </w:r>
    </w:p>
    <w:p>
      <w:pPr>
        <w:spacing w:after="60"/>
        <w:ind w:left="374" w:hanging="230"/>
        <w:jc w:val="both"/>
      </w:pPr>
      <w:r>
        <w:rPr>
          <w:b/>
          <w:color w:val="14453F"/>
        </w:rPr>
        <w:t xml:space="preserve">•  </w:t>
      </w:r>
      <w:r>
        <w:rPr>
          <w:b/>
          <w:i w:val="0"/>
        </w:rPr>
        <w:t>Friday.</w:t>
      </w:r>
      <w:r>
        <w:rPr>
          <w:b w:val="0"/>
          <w:i w:val="0"/>
        </w:rPr>
        <w:t xml:space="preserve"> Numbers updated, and one line on what moved and what did not.</w:t>
      </w:r>
    </w:p>
    <w:p>
      <w:pPr>
        <w:spacing w:after="60"/>
        <w:ind w:left="374" w:hanging="230"/>
        <w:jc w:val="both"/>
      </w:pPr>
      <w:r>
        <w:rPr>
          <w:b/>
          <w:color w:val="14453F"/>
        </w:rPr>
        <w:t xml:space="preserve">•  </w:t>
      </w:r>
      <w:r>
        <w:rPr>
          <w:b/>
          <w:i w:val="0"/>
        </w:rPr>
        <w:t>End of each month.</w:t>
      </w:r>
      <w:r>
        <w:rPr>
          <w:b w:val="0"/>
          <w:i w:val="0"/>
        </w:rPr>
        <w:t xml:space="preserve"> Review against the January scoreboard's minimum, target, and stretch levels, and say plainly which one the company is tracking to.</w:t>
      </w:r>
    </w:p>
    <w:p>
      <w:pPr>
        <w:keepNext/>
        <w:spacing w:before="220" w:after="80"/>
        <w:jc w:val="left"/>
        <w:pBdr>
          <w:bottom w:val="single" w:sz="12" w:space="2" w:color="000000"/>
        </w:pBdr>
      </w:pPr>
      <w:r>
        <w:rPr>
          <w:b/>
        </w:rPr>
        <w:t>WHAT MUST BE TRUE BY JANUARY</w:t>
      </w:r>
    </w:p>
    <w:p>
      <w:pPr>
        <w:spacing w:before="160" w:after="60"/>
        <w:jc w:val="both"/>
      </w:pPr>
      <w:r>
        <w:rPr>
          <w:b w:val="0"/>
          <w:i w:val="0"/>
        </w:rPr>
        <w:t>These are the memo's minimum levels, not its targets. If the company clears these, the application rests on observed traction rather than projection. If it will not clear them, that is worth knowing in October, which is what the Week 5 and Week 9 checkpoints are for.</w:t>
      </w:r>
    </w:p>
    <w:p>
      <w:pPr>
        <w:spacing w:after="60"/>
        <w:ind w:left="374" w:hanging="230"/>
        <w:jc w:val="both"/>
      </w:pPr>
      <w:r>
        <w:rPr>
          <w:b/>
          <w:color w:val="14453F"/>
        </w:rPr>
        <w:t xml:space="preserve">•  </w:t>
      </w:r>
      <w:r>
        <w:rPr>
          <w:b w:val="0"/>
          <w:i w:val="0"/>
        </w:rPr>
        <w:t>Multiple providers paying for successful hires, and several Client Growth customers paying and receiving measurable value.</w:t>
      </w:r>
    </w:p>
    <w:p>
      <w:pPr>
        <w:spacing w:after="60"/>
        <w:ind w:left="374" w:hanging="230"/>
        <w:jc w:val="both"/>
      </w:pPr>
      <w:r>
        <w:rPr>
          <w:b/>
          <w:color w:val="14453F"/>
        </w:rPr>
        <w:t xml:space="preserve">•  </w:t>
      </w:r>
      <w:r>
        <w:rPr>
          <w:b w:val="0"/>
          <w:i w:val="0"/>
        </w:rPr>
        <w:t>A repeatable provider claim and activation motion.</w:t>
      </w:r>
    </w:p>
    <w:p>
      <w:pPr>
        <w:spacing w:after="60"/>
        <w:ind w:left="374" w:hanging="230"/>
        <w:jc w:val="both"/>
      </w:pPr>
      <w:r>
        <w:rPr>
          <w:b/>
          <w:color w:val="14453F"/>
        </w:rPr>
        <w:t xml:space="preserve">•  </w:t>
      </w:r>
      <w:r>
        <w:rPr>
          <w:b w:val="0"/>
          <w:i w:val="0"/>
        </w:rPr>
        <w:t>Several substantive interviews with true target institutional buyers.</w:t>
      </w:r>
    </w:p>
    <w:p>
      <w:pPr>
        <w:spacing w:after="60"/>
        <w:ind w:left="374" w:hanging="230"/>
        <w:jc w:val="both"/>
      </w:pPr>
      <w:r>
        <w:rPr>
          <w:b/>
          <w:color w:val="14453F"/>
        </w:rPr>
        <w:t xml:space="preserve">•  </w:t>
      </w:r>
      <w:r>
        <w:rPr>
          <w:b w:val="0"/>
          <w:i w:val="0"/>
        </w:rPr>
        <w:t>The core CareNavigator execution product completed and testable.</w:t>
      </w:r>
    </w:p>
    <w:p>
      <w:pPr>
        <w:spacing w:after="60"/>
        <w:ind w:left="374" w:hanging="230"/>
        <w:jc w:val="both"/>
      </w:pPr>
      <w:r>
        <w:rPr>
          <w:b/>
          <w:color w:val="14453F"/>
        </w:rPr>
        <w:t xml:space="preserve">•  </w:t>
      </w:r>
      <w:r>
        <w:rPr>
          <w:b w:val="0"/>
          <w:i w:val="0"/>
        </w:rPr>
        <w:t>Investors who understand the milestones and remain engaged.</w:t>
      </w:r>
    </w:p>
    <w:p>
      <w:pPr>
        <w:keepNext/>
        <w:spacing w:before="220" w:after="80"/>
        <w:jc w:val="left"/>
        <w:pBdr>
          <w:bottom w:val="single" w:sz="12" w:space="2" w:color="000000"/>
        </w:pBdr>
      </w:pPr>
      <w:r>
        <w:rPr>
          <w:b/>
        </w:rPr>
        <w:t>THREE THINGS TO CONFIRM BEFORE APPROVING</w:t>
      </w:r>
    </w:p>
    <w:p>
      <w:pPr>
        <w:spacing w:after="60"/>
        <w:ind w:left="374" w:hanging="230"/>
        <w:jc w:val="both"/>
      </w:pPr>
      <w:r>
        <w:rPr>
          <w:b/>
          <w:color w:val="14453F"/>
        </w:rPr>
        <w:t xml:space="preserve">•  </w:t>
      </w:r>
      <w:r>
        <w:rPr>
          <w:b/>
          <w:i w:val="0"/>
        </w:rPr>
        <w:t>Owners are proposed, not agreed.</w:t>
      </w:r>
      <w:r>
        <w:rPr>
          <w:b w:val="0"/>
          <w:i w:val="0"/>
        </w:rPr>
        <w:t xml:space="preserve"> The named owner is the person accountable for the week landing, not the only person working on it.</w:t>
      </w:r>
    </w:p>
    <w:p>
      <w:pPr>
        <w:spacing w:after="60"/>
        <w:ind w:left="374" w:hanging="230"/>
        <w:jc w:val="both"/>
      </w:pPr>
      <w:r>
        <w:rPr>
          <w:b/>
          <w:color w:val="14453F"/>
        </w:rPr>
        <w:t xml:space="preserve">•  </w:t>
      </w:r>
      <w:r>
        <w:rPr>
          <w:b/>
          <w:i w:val="0"/>
        </w:rPr>
        <w:t>HLTH dates are unconfirmed.</w:t>
      </w:r>
      <w:r>
        <w:rPr>
          <w:b w:val="0"/>
          <w:i w:val="0"/>
        </w:rPr>
        <w:t xml:space="preserve"> Week 10 assumes the conference falls in early November per the memo. Confirm and move the row if it does not.</w:t>
      </w:r>
    </w:p>
    <w:p>
      <w:pPr>
        <w:spacing w:after="60"/>
        <w:ind w:left="374" w:hanging="230"/>
        <w:jc w:val="both"/>
      </w:pPr>
      <w:r>
        <w:rPr>
          <w:b/>
          <w:color w:val="14453F"/>
        </w:rPr>
        <w:t xml:space="preserve">•  </w:t>
      </w:r>
      <w:r>
        <w:rPr>
          <w:b/>
          <w:i w:val="0"/>
        </w:rPr>
        <w:t>Both provider products are scheduled in parallel.</w:t>
      </w:r>
      <w:r>
        <w:rPr>
          <w:b w:val="0"/>
          <w:i w:val="0"/>
        </w:rPr>
        <w:t xml:space="preserve"> The memo leaves open whether Client Growth and Staffing both run or one leads. If one leads, Weeks 2 through 7 get materially easier and the January minimums get more likely.</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line="240" w:lineRule="auto"/>
      <w:jc w:val="both"/>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