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b/>
          <w:sz w:val="28"/>
        </w:rPr>
        <w:t>ДІАГРАМА ПРЕЦЕДЕНТІВ (USE CASE DIAGRAM)</w:t>
      </w:r>
    </w:p>
    <w:p>
      <w:pPr>
        <w:spacing w:line="360" w:lineRule="auto" w:after="0" w:before="0"/>
        <w:ind w:firstLine="709"/>
        <w:jc w:val="both"/>
      </w:pPr>
      <w:r>
        <w:rPr>
          <w:rFonts w:ascii="Times New Roman" w:hAnsi="Times New Roman" w:eastAsia="Times New Roman"/>
          <w:b w:val="0"/>
          <w:sz w:val="28"/>
        </w:rPr>
        <w:t>Діаграма прецедентів описує функціональність інформаційної системи «Data Clean Room» з точки зору акторів. Вона охоплює тринадцять прецедентів UC-01 – UC-13 з Product Backlog: від автентифікації та завантаження набору даних до публікації очищеної версії, керованого обміну між організаціями, перегляду журналу аудиту та автоматичного видалення набору після завершення терміну зберігання.</w:t>
      </w:r>
    </w:p>
    <w:p>
      <w:pPr>
        <w:spacing w:line="360" w:lineRule="auto" w:after="0" w:before="0"/>
        <w:ind w:firstLine="709"/>
        <w:jc w:val="both"/>
      </w:pPr>
      <w:r>
        <w:rPr>
          <w:rFonts w:ascii="Times New Roman" w:hAnsi="Times New Roman" w:eastAsia="Times New Roman"/>
          <w:b w:val="0"/>
          <w:sz w:val="28"/>
        </w:rPr>
        <w:t>У системі діють три людські ролі та один системний актор. Data Provider (постачальник) завантажує, захищає й публікує набори та вирішує, кому їх передавати. Data Consumer (споживач) шукає набори в каталозі, створює запити й завантажує лише очищену версію. Data Steward (стюард) бачить метадані та журнал аудиту, але не вміст наборів, що відповідає принципу мінімальних привілеїв. Системний актор «Планувальник» запускає видалення наборів після закінчення терміну зберігання. Спільні для всіх ролей прецеденти UC-01 і UC-12 пов'язані з абстрактним актором «Користувач системи», якого узагальнюють ці три ролі.</w:t>
      </w:r>
    </w:p>
    <w:p>
      <w:pPr>
        <w:keepNext/>
        <w:spacing w:line="360" w:lineRule="auto" w:after="0" w:before="0"/>
        <w:jc w:val="left"/>
      </w:pPr>
      <w:r>
        <w:rPr>
          <w:rFonts w:ascii="Times New Roman" w:hAnsi="Times New Roman" w:eastAsia="Times New Roman"/>
          <w:b w:val="0"/>
          <w:sz w:val="28"/>
        </w:rPr>
        <w:t>Таблиця 1 – Актори системи</w:t>
      </w:r>
    </w:p>
    <w:tbl>
      <w:tblPr>
        <w:tblStyle w:val="TableGrid"/>
        <w:tblW w:type="auto" w:w="0"/>
        <w:tblLayout w:type="fixed"/>
        <w:tblLook w:firstColumn="1" w:firstRow="1" w:lastColumn="0" w:lastRow="0" w:noHBand="0" w:noVBand="1" w:val="04A0"/>
      </w:tblPr>
      <w:tblGrid>
        <w:gridCol w:w="3213"/>
        <w:gridCol w:w="3213"/>
        <w:gridCol w:w="3213"/>
      </w:tblGrid>
      <w:tr>
        <w:tc>
          <w:tcPr>
            <w:tcW w:type="dxa" w:w="1928"/>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Актор</w:t>
            </w:r>
          </w:p>
        </w:tc>
        <w:tc>
          <w:tcPr>
            <w:tcW w:type="dxa" w:w="5102"/>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Призначення</w:t>
            </w:r>
          </w:p>
        </w:tc>
        <w:tc>
          <w:tcPr>
            <w:tcW w:type="dxa" w:w="2041"/>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Прецеденти</w:t>
            </w:r>
          </w:p>
        </w:tc>
      </w:tr>
      <w:tr>
        <w:tc>
          <w:tcPr>
            <w:tcW w:type="dxa" w:w="192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5102"/>
          </w:tcPr>
          <w:p>
            <w:pPr>
              <w:spacing w:line="240" w:lineRule="auto"/>
              <w:ind w:firstLine="0"/>
            </w:pPr>
            <w:r>
              <w:rPr>
                <w:rFonts w:ascii="Times New Roman" w:hAnsi="Times New Roman" w:eastAsia="Times New Roman"/>
                <w:sz w:val="24"/>
              </w:rPr>
            </w:r>
            <w:r>
              <w:rPr>
                <w:rFonts w:ascii="Times New Roman" w:hAnsi="Times New Roman" w:eastAsia="Times New Roman"/>
                <w:sz w:val="24"/>
              </w:rPr>
              <w:t>Власник наборів: завантажує, налаштовує якість, захищає PII, публікує, схвалює запити</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UC-02 – UC-07, UC-09; через «Користувач системи» також UC-01, UC-12</w:t>
            </w:r>
          </w:p>
        </w:tc>
      </w:tr>
      <w:tr>
        <w:tc>
          <w:tcPr>
            <w:tcW w:type="dxa" w:w="192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Consumer</w:t>
            </w:r>
          </w:p>
        </w:tc>
        <w:tc>
          <w:tcPr>
            <w:tcW w:type="dxa" w:w="5102"/>
          </w:tcPr>
          <w:p>
            <w:pPr>
              <w:spacing w:line="240" w:lineRule="auto"/>
              <w:ind w:firstLine="0"/>
            </w:pPr>
            <w:r>
              <w:rPr>
                <w:rFonts w:ascii="Times New Roman" w:hAnsi="Times New Roman" w:eastAsia="Times New Roman"/>
                <w:sz w:val="24"/>
              </w:rPr>
            </w:r>
            <w:r>
              <w:rPr>
                <w:rFonts w:ascii="Times New Roman" w:hAnsi="Times New Roman" w:eastAsia="Times New Roman"/>
                <w:sz w:val="24"/>
              </w:rPr>
              <w:t>Отримувач очищених наборів; сирий файл недоступний ніколи</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UC-08, UC-10; через «Користувач системи» також UC-01, UC-12</w:t>
            </w:r>
          </w:p>
        </w:tc>
      </w:tr>
      <w:tr>
        <w:tc>
          <w:tcPr>
            <w:tcW w:type="dxa" w:w="192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Steward</w:t>
            </w:r>
          </w:p>
        </w:tc>
        <w:tc>
          <w:tcPr>
            <w:tcW w:type="dxa" w:w="5102"/>
          </w:tcPr>
          <w:p>
            <w:pPr>
              <w:spacing w:line="240" w:lineRule="auto"/>
              <w:ind w:firstLine="0"/>
            </w:pPr>
            <w:r>
              <w:rPr>
                <w:rFonts w:ascii="Times New Roman" w:hAnsi="Times New Roman" w:eastAsia="Times New Roman"/>
                <w:sz w:val="24"/>
              </w:rPr>
            </w:r>
            <w:r>
              <w:rPr>
                <w:rFonts w:ascii="Times New Roman" w:hAnsi="Times New Roman" w:eastAsia="Times New Roman"/>
                <w:sz w:val="24"/>
              </w:rPr>
              <w:t>Контролює рух даних за метаданими та журналом аудиту, вміст не бачить</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UC-11, UC-13; через «Користувач системи» також UC-01, UC-12</w:t>
            </w:r>
          </w:p>
        </w:tc>
      </w:tr>
      <w:tr>
        <w:tc>
          <w:tcPr>
            <w:tcW w:type="dxa" w:w="1928"/>
          </w:tcPr>
          <w:p>
            <w:pPr>
              <w:spacing w:line="240" w:lineRule="auto"/>
              <w:ind w:firstLine="0"/>
            </w:pPr>
            <w:r>
              <w:rPr>
                <w:rFonts w:ascii="Times New Roman" w:hAnsi="Times New Roman" w:eastAsia="Times New Roman"/>
                <w:sz w:val="24"/>
              </w:rPr>
            </w:r>
            <w:r>
              <w:rPr>
                <w:rFonts w:ascii="Times New Roman" w:hAnsi="Times New Roman" w:eastAsia="Times New Roman"/>
                <w:sz w:val="24"/>
              </w:rPr>
              <w:t>Користувач системи</w:t>
            </w:r>
          </w:p>
        </w:tc>
        <w:tc>
          <w:tcPr>
            <w:tcW w:type="dxa" w:w="5102"/>
          </w:tcPr>
          <w:p>
            <w:pPr>
              <w:spacing w:line="240" w:lineRule="auto"/>
              <w:ind w:firstLine="0"/>
            </w:pPr>
            <w:r>
              <w:rPr>
                <w:rFonts w:ascii="Times New Roman" w:hAnsi="Times New Roman" w:eastAsia="Times New Roman"/>
                <w:sz w:val="24"/>
              </w:rPr>
            </w:r>
            <w:r>
              <w:rPr>
                <w:rFonts w:ascii="Times New Roman" w:hAnsi="Times New Roman" w:eastAsia="Times New Roman"/>
                <w:sz w:val="24"/>
              </w:rPr>
              <w:t>Абстрактний актор, якого узагальнюють три людські ролі</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UC-01, UC-12</w:t>
            </w:r>
          </w:p>
        </w:tc>
      </w:tr>
      <w:tr>
        <w:tc>
          <w:tcPr>
            <w:tcW w:type="dxa" w:w="1928"/>
          </w:tcPr>
          <w:p>
            <w:pPr>
              <w:spacing w:line="240" w:lineRule="auto"/>
              <w:ind w:firstLine="0"/>
            </w:pPr>
            <w:r>
              <w:rPr>
                <w:rFonts w:ascii="Times New Roman" w:hAnsi="Times New Roman" w:eastAsia="Times New Roman"/>
                <w:sz w:val="24"/>
              </w:rPr>
            </w:r>
            <w:r>
              <w:rPr>
                <w:rFonts w:ascii="Times New Roman" w:hAnsi="Times New Roman" w:eastAsia="Times New Roman"/>
                <w:sz w:val="24"/>
              </w:rPr>
              <w:t>Планувальник</w:t>
            </w:r>
          </w:p>
        </w:tc>
        <w:tc>
          <w:tcPr>
            <w:tcW w:type="dxa" w:w="5102"/>
          </w:tcPr>
          <w:p>
            <w:pPr>
              <w:spacing w:line="240" w:lineRule="auto"/>
              <w:ind w:firstLine="0"/>
            </w:pPr>
            <w:r>
              <w:rPr>
                <w:rFonts w:ascii="Times New Roman" w:hAnsi="Times New Roman" w:eastAsia="Times New Roman"/>
                <w:sz w:val="24"/>
              </w:rPr>
            </w:r>
            <w:r>
              <w:rPr>
                <w:rFonts w:ascii="Times New Roman" w:hAnsi="Times New Roman" w:eastAsia="Times New Roman"/>
                <w:sz w:val="24"/>
              </w:rPr>
              <w:t>Системний актор; запускає автовидалення за терміном зберігання</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UC-13</w:t>
            </w:r>
          </w:p>
        </w:tc>
      </w:tr>
    </w:tbl>
    <w:p>
      <w:pPr>
        <w:spacing w:after="0"/>
      </w:pPr>
    </w:p>
    <w:p>
      <w:pPr>
        <w:sectPr>
          <w:pgSz w:w="11906" w:h="16838"/>
          <w:pgMar w:top="1134" w:right="567" w:bottom="1134" w:left="1701" w:header="720" w:footer="720" w:gutter="0"/>
          <w:cols w:space="720"/>
          <w:docGrid w:linePitch="360"/>
        </w:sectPr>
      </w:pPr>
    </w:p>
    <w:p>
      <w:pPr>
        <w:spacing w:after="0"/>
        <w:jc w:val="center"/>
      </w:pPr>
      <w:r>
        <w:drawing>
          <wp:inline xmlns:a="http://schemas.openxmlformats.org/drawingml/2006/main" xmlns:pic="http://schemas.openxmlformats.org/drawingml/2006/picture">
            <wp:extent cx="8208000" cy="5633971"/>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8208000" cy="5633971"/>
                    </a:xfrm>
                    <a:prstGeom prst="rect"/>
                  </pic:spPr>
                </pic:pic>
              </a:graphicData>
            </a:graphic>
          </wp:inline>
        </w:drawing>
      </w:r>
    </w:p>
    <w:p>
      <w:pPr>
        <w:spacing w:line="360" w:lineRule="auto" w:after="0" w:before="0"/>
        <w:jc w:val="center"/>
      </w:pPr>
      <w:r>
        <w:rPr>
          <w:rFonts w:ascii="Times New Roman" w:hAnsi="Times New Roman" w:eastAsia="Times New Roman"/>
          <w:b w:val="0"/>
          <w:sz w:val="28"/>
        </w:rPr>
        <w:t>Рисунок 1 – Діаграма прецедентів системи «Data Clean Room»</w:t>
      </w:r>
    </w:p>
    <w:p>
      <w:pPr>
        <w:sectPr>
          <w:pgSz w:w="16838" w:h="11906" w:orient="landscape"/>
          <w:pgMar w:top="1134" w:right="567" w:bottom="1134" w:left="1701" w:header="720" w:footer="720" w:gutter="0"/>
          <w:cols w:space="720"/>
          <w:docGrid w:linePitch="360"/>
        </w:sectPr>
      </w:pPr>
    </w:p>
    <w:p>
      <w:pPr>
        <w:keepNext/>
        <w:spacing w:line="360" w:lineRule="auto" w:after="0" w:before="0"/>
        <w:jc w:val="left"/>
      </w:pPr>
      <w:r>
        <w:rPr>
          <w:rFonts w:ascii="Times New Roman" w:hAnsi="Times New Roman" w:eastAsia="Times New Roman"/>
          <w:b w:val="0"/>
          <w:sz w:val="28"/>
        </w:rPr>
        <w:t>Таблиця 2 – Перелік прецедентів</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964"/>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ID</w:t>
            </w:r>
          </w:p>
        </w:tc>
        <w:tc>
          <w:tcPr>
            <w:tcW w:type="dxa" w:w="4535"/>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Назва прецеденту</w:t>
            </w:r>
          </w:p>
        </w:tc>
        <w:tc>
          <w:tcPr>
            <w:tcW w:type="dxa" w:w="2268"/>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Актор</w:t>
            </w:r>
          </w:p>
        </w:tc>
        <w:tc>
          <w:tcPr>
            <w:tcW w:type="dxa" w:w="1304"/>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Специфікація</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UC-01</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Автентифікуватися в системі</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Усі ролі</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UC-02</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Завантажити сирий набір даних</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UC-03</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Переглянути профіль набору та Quality Score</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UC-04</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Налаштувати правила якості</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UC-05</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Переглянути результати PII-сканування і клас набору</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UC-06</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Анонімізувати PII-колонки (до/після)</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UC-07</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Опублікувати набір із правовою підставою і терміном зберігання</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1</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UC-08</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Створити запит на набір даних</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Consumer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UC-09</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Схвалити або відхилити запит</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Provider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UC-10</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Завантажити очищений набір</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Consumer</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UC-11</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Переглянути журнал аудиту</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Data Steward</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UC-12</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Переглянути картку набору в каталозі</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Усі ролі</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r>
        <w:tc>
          <w:tcPr>
            <w:tcW w:type="dxa" w:w="964"/>
          </w:tcPr>
          <w:p>
            <w:pPr>
              <w:spacing w:line="240" w:lineRule="auto"/>
              <w:ind w:firstLine="0"/>
            </w:pPr>
            <w:r>
              <w:rPr>
                <w:rFonts w:ascii="Times New Roman" w:hAnsi="Times New Roman" w:eastAsia="Times New Roman"/>
                <w:sz w:val="24"/>
              </w:rPr>
            </w:r>
            <w:r>
              <w:rPr>
                <w:rFonts w:ascii="Times New Roman" w:hAnsi="Times New Roman" w:eastAsia="Times New Roman"/>
                <w:sz w:val="24"/>
              </w:rPr>
              <w:t>UC-13</w:t>
            </w:r>
          </w:p>
        </w:tc>
        <w:tc>
          <w:tcPr>
            <w:tcW w:type="dxa" w:w="4535"/>
          </w:tcPr>
          <w:p>
            <w:pPr>
              <w:spacing w:line="240" w:lineRule="auto"/>
              <w:ind w:firstLine="0"/>
            </w:pPr>
            <w:r>
              <w:rPr>
                <w:rFonts w:ascii="Times New Roman" w:hAnsi="Times New Roman" w:eastAsia="Times New Roman"/>
                <w:sz w:val="24"/>
              </w:rPr>
            </w:r>
            <w:r>
              <w:rPr>
                <w:rFonts w:ascii="Times New Roman" w:hAnsi="Times New Roman" w:eastAsia="Times New Roman"/>
                <w:sz w:val="24"/>
              </w:rPr>
              <w:t>Видалити набір після терміну зберігання</w:t>
            </w:r>
          </w:p>
        </w:tc>
        <w:tc>
          <w:tcPr>
            <w:tcW w:type="dxa" w:w="2268"/>
          </w:tcPr>
          <w:p>
            <w:pPr>
              <w:spacing w:line="240" w:lineRule="auto"/>
              <w:ind w:firstLine="0"/>
            </w:pPr>
            <w:r>
              <w:rPr>
                <w:rFonts w:ascii="Times New Roman" w:hAnsi="Times New Roman" w:eastAsia="Times New Roman"/>
                <w:sz w:val="24"/>
              </w:rPr>
            </w:r>
            <w:r>
              <w:rPr>
                <w:rFonts w:ascii="Times New Roman" w:hAnsi="Times New Roman" w:eastAsia="Times New Roman"/>
                <w:sz w:val="24"/>
              </w:rPr>
              <w:t>Планувальник (система), Data Steward</w:t>
            </w:r>
          </w:p>
        </w:tc>
        <w:tc>
          <w:tcPr>
            <w:tcW w:type="dxa" w:w="1304"/>
          </w:tcPr>
          <w:p>
            <w:pPr>
              <w:spacing w:line="240" w:lineRule="auto"/>
              <w:ind w:firstLine="0"/>
            </w:pPr>
            <w:r>
              <w:rPr>
                <w:rFonts w:ascii="Times New Roman" w:hAnsi="Times New Roman" w:eastAsia="Times New Roman"/>
                <w:sz w:val="24"/>
              </w:rPr>
            </w:r>
            <w:r>
              <w:rPr>
                <w:rFonts w:ascii="Times New Roman" w:hAnsi="Times New Roman" w:eastAsia="Times New Roman"/>
                <w:sz w:val="24"/>
              </w:rPr>
              <w:t>Спринт 2</w:t>
            </w:r>
          </w:p>
        </w:tc>
      </w:tr>
    </w:tbl>
    <w:p>
      <w:pPr>
        <w:spacing w:after="0"/>
      </w:pPr>
    </w:p>
    <w:p>
      <w:pPr>
        <w:spacing w:line="360" w:lineRule="auto" w:after="0" w:before="0"/>
        <w:ind w:firstLine="709"/>
        <w:jc w:val="both"/>
      </w:pPr>
      <w:r>
        <w:rPr>
          <w:rFonts w:ascii="Times New Roman" w:hAnsi="Times New Roman" w:eastAsia="Times New Roman"/>
          <w:b w:val="0"/>
          <w:sz w:val="28"/>
        </w:rPr>
        <w:t>Між прецедентами використано такі зв'язки, що відображають правила governance-шару.</w:t>
      </w:r>
    </w:p>
    <w:p>
      <w:pPr>
        <w:keepNext/>
        <w:spacing w:line="360" w:lineRule="auto" w:after="0" w:before="0"/>
        <w:jc w:val="left"/>
      </w:pPr>
      <w:r>
        <w:rPr>
          <w:rFonts w:ascii="Times New Roman" w:hAnsi="Times New Roman" w:eastAsia="Times New Roman"/>
          <w:b w:val="0"/>
          <w:sz w:val="28"/>
        </w:rPr>
        <w:t>Таблиця 3 – Зв'язки include та extend</w:t>
      </w:r>
    </w:p>
    <w:tbl>
      <w:tblPr>
        <w:tblStyle w:val="TableGrid"/>
        <w:tblW w:type="auto" w:w="0"/>
        <w:tblLayout w:type="fixed"/>
        <w:tblLook w:firstColumn="1" w:firstRow="1" w:lastColumn="0" w:lastRow="0" w:noHBand="0" w:noVBand="1" w:val="04A0"/>
      </w:tblPr>
      <w:tblGrid>
        <w:gridCol w:w="2409"/>
        <w:gridCol w:w="2409"/>
        <w:gridCol w:w="2409"/>
        <w:gridCol w:w="2409"/>
      </w:tblGrid>
      <w:tr>
        <w:tc>
          <w:tcPr>
            <w:tcW w:type="dxa" w:w="1134"/>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Зв'язок</w:t>
            </w:r>
          </w:p>
        </w:tc>
        <w:tc>
          <w:tcPr>
            <w:tcW w:type="dxa" w:w="2041"/>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Від</w:t>
            </w:r>
          </w:p>
        </w:tc>
        <w:tc>
          <w:tcPr>
            <w:tcW w:type="dxa" w:w="2041"/>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До</w:t>
            </w:r>
          </w:p>
        </w:tc>
        <w:tc>
          <w:tcPr>
            <w:tcW w:type="dxa" w:w="3855"/>
          </w:tcPr>
          <w:p>
            <w:pPr>
              <w:spacing w:line="240" w:lineRule="auto"/>
              <w:ind w:firstLine="0"/>
              <w:jc w:val="center"/>
            </w:pPr>
            <w:r>
              <w:rPr>
                <w:rFonts w:ascii="Times New Roman" w:hAnsi="Times New Roman" w:eastAsia="Times New Roman"/>
                <w:sz w:val="24"/>
              </w:rPr>
            </w:r>
            <w:r>
              <w:rPr>
                <w:rFonts w:ascii="Times New Roman" w:hAnsi="Times New Roman" w:eastAsia="Times New Roman"/>
                <w:b/>
                <w:sz w:val="24"/>
              </w:rPr>
              <w:t>Обґрунтування</w:t>
            </w:r>
          </w:p>
        </w:tc>
      </w:tr>
      <w:tr>
        <w:tc>
          <w:tcPr>
            <w:tcW w:type="dxa" w:w="1134"/>
          </w:tcPr>
          <w:p>
            <w:pPr>
              <w:spacing w:line="240" w:lineRule="auto"/>
              <w:ind w:firstLine="0"/>
            </w:pPr>
            <w:r>
              <w:rPr>
                <w:rFonts w:ascii="Times New Roman" w:hAnsi="Times New Roman" w:eastAsia="Times New Roman"/>
                <w:sz w:val="24"/>
              </w:rPr>
            </w:r>
            <w:r>
              <w:rPr>
                <w:rFonts w:ascii="Times New Roman" w:hAnsi="Times New Roman" w:eastAsia="Times New Roman"/>
                <w:sz w:val="24"/>
              </w:rPr>
              <w:t>include</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UC-07</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Перевірити ворота публікації</w:t>
            </w:r>
          </w:p>
        </w:tc>
        <w:tc>
          <w:tcPr>
            <w:tcW w:type="dxa" w:w="3855"/>
          </w:tcPr>
          <w:p>
            <w:pPr>
              <w:spacing w:line="240" w:lineRule="auto"/>
              <w:ind w:firstLine="0"/>
            </w:pPr>
            <w:r>
              <w:rPr>
                <w:rFonts w:ascii="Times New Roman" w:hAnsi="Times New Roman" w:eastAsia="Times New Roman"/>
                <w:sz w:val="24"/>
              </w:rPr>
            </w:r>
            <w:r>
              <w:rPr>
                <w:rFonts w:ascii="Times New Roman" w:hAnsi="Times New Roman" w:eastAsia="Times New Roman"/>
                <w:sz w:val="24"/>
              </w:rPr>
              <w:t>Публікація можлива лише після виконання чотирьох умов воріт публікації; результат перевірки обов'язковий</w:t>
            </w:r>
          </w:p>
        </w:tc>
      </w:tr>
      <w:tr>
        <w:tc>
          <w:tcPr>
            <w:tcW w:type="dxa" w:w="1134"/>
          </w:tcPr>
          <w:p>
            <w:pPr>
              <w:spacing w:line="240" w:lineRule="auto"/>
              <w:ind w:firstLine="0"/>
            </w:pPr>
            <w:r>
              <w:rPr>
                <w:rFonts w:ascii="Times New Roman" w:hAnsi="Times New Roman" w:eastAsia="Times New Roman"/>
                <w:sz w:val="24"/>
              </w:rPr>
            </w:r>
            <w:r>
              <w:rPr>
                <w:rFonts w:ascii="Times New Roman" w:hAnsi="Times New Roman" w:eastAsia="Times New Roman"/>
                <w:sz w:val="24"/>
              </w:rPr>
              <w:t>include</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UC-10</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Перевірити права доступу</w:t>
            </w:r>
          </w:p>
        </w:tc>
        <w:tc>
          <w:tcPr>
            <w:tcW w:type="dxa" w:w="3855"/>
          </w:tcPr>
          <w:p>
            <w:pPr>
              <w:spacing w:line="240" w:lineRule="auto"/>
              <w:ind w:firstLine="0"/>
            </w:pPr>
            <w:r>
              <w:rPr>
                <w:rFonts w:ascii="Times New Roman" w:hAnsi="Times New Roman" w:eastAsia="Times New Roman"/>
                <w:sz w:val="24"/>
              </w:rPr>
            </w:r>
            <w:r>
              <w:rPr>
                <w:rFonts w:ascii="Times New Roman" w:hAnsi="Times New Roman" w:eastAsia="Times New Roman"/>
                <w:sz w:val="24"/>
              </w:rPr>
              <w:t>Кожне завантаження перевіряється за матрицею «клас × роль × статус»</w:t>
            </w:r>
          </w:p>
        </w:tc>
      </w:tr>
      <w:tr>
        <w:tc>
          <w:tcPr>
            <w:tcW w:type="dxa" w:w="1134"/>
          </w:tcPr>
          <w:p>
            <w:pPr>
              <w:spacing w:line="240" w:lineRule="auto"/>
              <w:ind w:firstLine="0"/>
            </w:pPr>
            <w:r>
              <w:rPr>
                <w:rFonts w:ascii="Times New Roman" w:hAnsi="Times New Roman" w:eastAsia="Times New Roman"/>
                <w:sz w:val="24"/>
              </w:rPr>
            </w:r>
            <w:r>
              <w:rPr>
                <w:rFonts w:ascii="Times New Roman" w:hAnsi="Times New Roman" w:eastAsia="Times New Roman"/>
                <w:sz w:val="24"/>
              </w:rPr>
              <w:t>include</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UC-13</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Записати подію в журнал аудиту</w:t>
            </w:r>
          </w:p>
        </w:tc>
        <w:tc>
          <w:tcPr>
            <w:tcW w:type="dxa" w:w="3855"/>
          </w:tcPr>
          <w:p>
            <w:pPr>
              <w:spacing w:line="240" w:lineRule="auto"/>
              <w:ind w:firstLine="0"/>
            </w:pPr>
            <w:r>
              <w:rPr>
                <w:rFonts w:ascii="Times New Roman" w:hAnsi="Times New Roman" w:eastAsia="Times New Roman"/>
                <w:sz w:val="24"/>
              </w:rPr>
            </w:r>
            <w:r>
              <w:rPr>
                <w:rFonts w:ascii="Times New Roman" w:hAnsi="Times New Roman" w:eastAsia="Times New Roman"/>
                <w:sz w:val="24"/>
              </w:rPr>
              <w:t>Автовидалення завжди фіксується подією в журналі аудиту</w:t>
            </w:r>
          </w:p>
        </w:tc>
      </w:tr>
      <w:tr>
        <w:tc>
          <w:tcPr>
            <w:tcW w:type="dxa" w:w="1134"/>
          </w:tcPr>
          <w:p>
            <w:pPr>
              <w:spacing w:line="240" w:lineRule="auto"/>
              <w:ind w:firstLine="0"/>
            </w:pPr>
            <w:r>
              <w:rPr>
                <w:rFonts w:ascii="Times New Roman" w:hAnsi="Times New Roman" w:eastAsia="Times New Roman"/>
                <w:sz w:val="24"/>
              </w:rPr>
            </w:r>
            <w:r>
              <w:rPr>
                <w:rFonts w:ascii="Times New Roman" w:hAnsi="Times New Roman" w:eastAsia="Times New Roman"/>
                <w:sz w:val="24"/>
              </w:rPr>
              <w:t>extend</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UC-04</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UC-03</w:t>
            </w:r>
          </w:p>
        </w:tc>
        <w:tc>
          <w:tcPr>
            <w:tcW w:type="dxa" w:w="3855"/>
          </w:tcPr>
          <w:p>
            <w:pPr>
              <w:spacing w:line="240" w:lineRule="auto"/>
              <w:ind w:firstLine="0"/>
            </w:pPr>
            <w:r>
              <w:rPr>
                <w:rFonts w:ascii="Times New Roman" w:hAnsi="Times New Roman" w:eastAsia="Times New Roman"/>
                <w:sz w:val="24"/>
              </w:rPr>
            </w:r>
            <w:r>
              <w:rPr>
                <w:rFonts w:ascii="Times New Roman" w:hAnsi="Times New Roman" w:eastAsia="Times New Roman"/>
                <w:sz w:val="24"/>
              </w:rPr>
              <w:t>Правила якості налаштовують з екрана профілю; вони впливають на Quality Score, але профіль доступний і без них</w:t>
            </w:r>
          </w:p>
        </w:tc>
      </w:tr>
      <w:tr>
        <w:tc>
          <w:tcPr>
            <w:tcW w:type="dxa" w:w="1134"/>
          </w:tcPr>
          <w:p>
            <w:pPr>
              <w:spacing w:line="240" w:lineRule="auto"/>
              <w:ind w:firstLine="0"/>
            </w:pPr>
            <w:r>
              <w:rPr>
                <w:rFonts w:ascii="Times New Roman" w:hAnsi="Times New Roman" w:eastAsia="Times New Roman"/>
                <w:sz w:val="24"/>
              </w:rPr>
            </w:r>
            <w:r>
              <w:rPr>
                <w:rFonts w:ascii="Times New Roman" w:hAnsi="Times New Roman" w:eastAsia="Times New Roman"/>
                <w:sz w:val="24"/>
              </w:rPr>
              <w:t>extend</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Відмовити в доступі до сирого файлу</w:t>
            </w:r>
          </w:p>
        </w:tc>
        <w:tc>
          <w:tcPr>
            <w:tcW w:type="dxa" w:w="2041"/>
          </w:tcPr>
          <w:p>
            <w:pPr>
              <w:spacing w:line="240" w:lineRule="auto"/>
              <w:ind w:firstLine="0"/>
            </w:pPr>
            <w:r>
              <w:rPr>
                <w:rFonts w:ascii="Times New Roman" w:hAnsi="Times New Roman" w:eastAsia="Times New Roman"/>
                <w:sz w:val="24"/>
              </w:rPr>
            </w:r>
            <w:r>
              <w:rPr>
                <w:rFonts w:ascii="Times New Roman" w:hAnsi="Times New Roman" w:eastAsia="Times New Roman"/>
                <w:sz w:val="24"/>
              </w:rPr>
              <w:t>UC-10</w:t>
            </w:r>
          </w:p>
        </w:tc>
        <w:tc>
          <w:tcPr>
            <w:tcW w:type="dxa" w:w="3855"/>
          </w:tcPr>
          <w:p>
            <w:pPr>
              <w:spacing w:line="240" w:lineRule="auto"/>
              <w:ind w:firstLine="0"/>
            </w:pPr>
            <w:r>
              <w:rPr>
                <w:rFonts w:ascii="Times New Roman" w:hAnsi="Times New Roman" w:eastAsia="Times New Roman"/>
                <w:sz w:val="24"/>
              </w:rPr>
            </w:r>
            <w:r>
              <w:rPr>
                <w:rFonts w:ascii="Times New Roman" w:hAnsi="Times New Roman" w:eastAsia="Times New Roman"/>
                <w:sz w:val="24"/>
              </w:rPr>
              <w:t>Негативна гілка: спроба взяти сирий файл завершується відповіддю 403 і записом у журнал аудиту (TC-N2)</w:t>
            </w:r>
          </w:p>
        </w:tc>
      </w:tr>
    </w:tbl>
    <w:p>
      <w:pPr>
        <w:spacing w:after="0"/>
      </w:pPr>
    </w:p>
    <w:p>
      <w:pPr>
        <w:spacing w:line="360" w:lineRule="auto" w:after="0" w:before="0"/>
        <w:ind w:firstLine="709"/>
        <w:jc w:val="both"/>
      </w:pPr>
      <w:r>
        <w:rPr>
          <w:rFonts w:ascii="Times New Roman" w:hAnsi="Times New Roman" w:eastAsia="Times New Roman"/>
          <w:b w:val="0"/>
          <w:sz w:val="28"/>
        </w:rPr>
        <w:t>Прецеденти UC-01 та UC-12 доступні всім трьом людським ролям, тому їх пов'язано з абстрактним актором «Користувач системи», якого узагальнюють усі три ролі. Допоміжні прецеденти (пунктирні контури) не входять до нумерації UC-01 – UC-13, а лише деталізують поведінку основних.</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