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color w:val="17365D"/>
          <w:sz w:val="40"/>
        </w:rPr>
        <w:t>秘密保持契約書（NDA）テンプレート</w:t>
      </w:r>
    </w:p>
    <w:p>
      <w:pPr>
        <w:jc w:val="center"/>
      </w:pPr>
      <w:r>
        <w:rPr>
          <w:b/>
          <w:color w:val="B42828"/>
          <w:sz w:val="18"/>
        </w:rPr>
        <w:t>施設・企業との打合せ前に使用するテンプレート</w:t>
      </w:r>
    </w:p>
    <w:tbl>
      <w:tblPr>
        <w:tblW w:type="auto" w:w="0"/>
        <w:jc w:val="center"/>
        <w:tblLook w:firstColumn="1" w:firstRow="1" w:lastColumn="0" w:lastRow="0" w:noHBand="0" w:noVBand="1" w:val="04A0"/>
      </w:tblPr>
      <w:tblGrid>
        <w:gridCol w:w="9972"/>
      </w:tblGrid>
      <w:tr>
        <w:tc>
          <w:tcPr>
            <w:tcW w:type="dxa" w:w="9972"/>
            <w:vAlign w:val="center"/>
            <w:shd w:fill="FFF4CC"/>
          </w:tcPr>
          <w:p>
            <w:r>
              <w:rPr>
                <w:rFonts w:ascii="Noto Sans CJK JP" w:hAnsi="Noto Sans CJK JP" w:eastAsia="Noto Sans CJK JP"/>
                <w:sz w:val="19"/>
              </w:rPr>
              <w:t>相手方の雛形を使う場合でも、「目的外使用禁止」「既存知財は自分に残る」「秘密情報に基づく単独出願禁止」「ソフトウェア等の解析禁止」を確認してください。実際の締結前に専門家確認を推奨します。</w:t>
            </w:r>
          </w:p>
        </w:tc>
      </w:tr>
    </w:tbl>
    <w:p/>
    <w:p>
      <w:r>
        <w:t>[開示側氏名又は事業者名]（以下「甲」という。）と[相手方名称]（以下「乙」という。）は、館内ナビゲーションサービス、実証実験、業務提携その他これらに関連する協議（以下「本目的」という。）に関連して相互に開示される情報の取扱いについて、以下のとおり秘密保持契約（以下「本契約」という。）を締結する。</w:t>
      </w:r>
    </w:p>
    <w:p>
      <w:pPr>
        <w:pStyle w:val="Heading2"/>
      </w:pPr>
      <w:r>
        <w:t>第1条（秘密情報）</w:t>
      </w:r>
    </w:p>
    <w:p>
      <w:r>
        <w:t>1. 「秘密情報」とは、本目的に関連して一方当事者（以下「開示者」という。）が他方当事者（以下「受領者」という。）に開示する技術上、営業上、事業上その他一切の情報で、秘密である旨を明示したものをいう。</w:t>
      </w:r>
    </w:p>
    <w:p>
      <w:r>
        <w:t>2. 秘密情報には、特に、ソースコード、アルゴリズム、屋内位置推定方法、距離補正方法、経路グラフ、施設データ構造、センサー処理方法、利用データ集約方法、外れ値除外方法、信頼度計算方法、画面設計、仕様書、図面、価格、営業計画、提携候補、実証実験計画及び未公開の発明・ノウハウを含む。</w:t>
      </w:r>
    </w:p>
    <w:p>
      <w:r>
        <w:t>3. 口頭又は実演で開示した情報は、開示時に秘密である旨を伝え、開示後30日以内に内容を特定して秘密である旨を通知した場合に秘密情報とする。</w:t>
      </w:r>
    </w:p>
    <w:p>
      <w:pPr>
        <w:pStyle w:val="Heading2"/>
      </w:pPr>
      <w:r>
        <w:t>第2条（秘密情報から除外される情報）</w:t>
      </w:r>
    </w:p>
    <w:p>
      <w:r>
        <w:t>受領者が書面により立証できる次の情報は秘密情報に含まれない。(1) 開示時に公知であった情報、(2) 受領者の責めによらず公知となった情報、(3) 開示前から適法に保有していた情報、(4) 正当な権限を有する第三者から守秘義務なく取得した情報、(5) 秘密情報によらず独自に開発した情報。</w:t>
      </w:r>
    </w:p>
    <w:p>
      <w:pPr>
        <w:pStyle w:val="Heading2"/>
      </w:pPr>
      <w:r>
        <w:t>第3条（目的外使用の禁止）</w:t>
      </w:r>
    </w:p>
    <w:p>
      <w:r>
        <w:t>受領者は、秘密情報を本目的の検討及び実施のためにのみ使用し、開示者の事前の書面承諾なく、自己又は第三者の製品・サービスの開発、模倣、競争上の利用その他本目的外に使用しない。</w:t>
      </w:r>
    </w:p>
    <w:p>
      <w:pPr>
        <w:pStyle w:val="Heading2"/>
      </w:pPr>
      <w:r>
        <w:t>第4条（第三者開示の制限）</w:t>
      </w:r>
    </w:p>
    <w:p>
      <w:r>
        <w:t>受領者は、本目的のために知る必要のある役員、従業員、弁護士、弁理士、会計士その他専門家に限り秘密情報を開示できる。この場合、受領者は当該者に本契約と同等以上の秘密保持義務を負わせる。法令又は裁判所・行政機関の命令により開示が必要な場合、法令上許される範囲で事前に開示者へ通知する。</w:t>
      </w:r>
    </w:p>
    <w:p>
      <w:pPr>
        <w:pStyle w:val="Heading2"/>
      </w:pPr>
      <w:r>
        <w:t>第5条（複製・解析等の制限）</w:t>
      </w:r>
    </w:p>
    <w:p>
      <w:r>
        <w:t>受領者は、本目的に合理的に必要な範囲を超えて秘密情報を複製しない。また、開示者が提供するソフトウェア、試作品、データ、画面、APIその他の成果物について、開示者の事前の書面承諾なく、リバースエンジニアリング、逆コンパイル、逆アセンブル、解析その他これらに類する行為を行わない。</w:t>
      </w:r>
    </w:p>
    <w:p>
      <w:pPr>
        <w:pStyle w:val="Heading2"/>
      </w:pPr>
      <w:r>
        <w:t>第6条（知的財産権）</w:t>
      </w:r>
    </w:p>
    <w:p>
      <w:r>
        <w:t>1. 本契約による秘密情報の開示は、特許権、著作権、商標権、ノウハウその他の知的財産権の譲渡又は実施許諾を意味しない。</w:t>
      </w:r>
    </w:p>
    <w:p>
      <w:r>
        <w:t>2. 各当事者が本契約締結前から保有する知的財産、ノウハウ及び独自に開発した成果は、当該当事者に帰属する。</w:t>
      </w:r>
    </w:p>
    <w:p>
      <w:r>
        <w:t>3. 受領者は、開示者の秘密情報に基づき、又はこれを利用して、自己若しくは第三者名義で特許、実用新案、意匠その他の権利出願を行わない。共同で新たな成果が生じた場合の権利帰属は、別途書面で合意する。</w:t>
      </w:r>
    </w:p>
    <w:p>
      <w:pPr>
        <w:pStyle w:val="Heading2"/>
      </w:pPr>
      <w:r>
        <w:t>第7条（管理）</w:t>
      </w:r>
    </w:p>
    <w:p>
      <w:r>
        <w:t>受領者は、秘密情報を自己の同種の重要情報と同等以上の注意をもって管理し、漏えい、紛失、改ざん、不正アクセス等を防止する合理的な安全管理措置を講じる。</w:t>
      </w:r>
    </w:p>
    <w:p>
      <w:pPr>
        <w:pStyle w:val="Heading2"/>
      </w:pPr>
      <w:r>
        <w:t>第8条（返還・消去）</w:t>
      </w:r>
    </w:p>
    <w:p>
      <w:r>
        <w:t>開示者から要求があった場合又は本目的が終了した場合、受領者は秘密情報及びその複製物を速やかに返還又は消去する。ただし、法令上保存が必要なもの及び通常のバックアップに残存するものはこの限りでない。</w:t>
      </w:r>
    </w:p>
    <w:p>
      <w:pPr>
        <w:pStyle w:val="Heading2"/>
      </w:pPr>
      <w:r>
        <w:t>第9条（保証及び取引義務）</w:t>
      </w:r>
    </w:p>
    <w:p>
      <w:r>
        <w:t>開示者は秘密情報の完全性、正確性又は特定目的への適合性を保証しない。本契約は、当事者に取引、実証実験、共同開発その他の契約締結義務を負わせるものではない。</w:t>
      </w:r>
    </w:p>
    <w:p>
      <w:pPr>
        <w:pStyle w:val="Heading2"/>
      </w:pPr>
      <w:r>
        <w:t>第10条（有効期間）</w:t>
      </w:r>
    </w:p>
    <w:p>
      <w:r>
        <w:t>本契約の有効期間は締結日から3年間とする。ただし、第3条から第8条の義務は、本契約終了後5年間存続する。営業秘密その他性質上秘密保持が必要な情報については、当該情報が適法に公知となるまで存続するものとする。</w:t>
      </w:r>
    </w:p>
    <w:p>
      <w:pPr>
        <w:pStyle w:val="Heading2"/>
      </w:pPr>
      <w:r>
        <w:t>第11条（損害賠償等）</w:t>
      </w:r>
    </w:p>
    <w:p>
      <w:r>
        <w:t>当事者が本契約に違反し相手方に損害を与えた場合、相手方は法令に基づき損害賠償その他必要な救済を求めることができる。</w:t>
      </w:r>
    </w:p>
    <w:p>
      <w:pPr>
        <w:pStyle w:val="Heading2"/>
      </w:pPr>
      <w:r>
        <w:t>第12条（準拠法・合意管轄）</w:t>
      </w:r>
    </w:p>
    <w:p>
      <w:r>
        <w:t>本契約は日本法を準拠法とする。本契約に関する紛争については、[管轄裁判所：例 高松地方裁判所／大阪地方裁判所 等]を第一審の専属的合意管轄裁判所とする。</w:t>
      </w:r>
    </w:p>
    <w:p>
      <w:pPr>
        <w:pStyle w:val="Heading2"/>
      </w:pPr>
      <w:r>
        <w:t>第13条（協議）</w:t>
      </w:r>
    </w:p>
    <w:p>
      <w:r>
        <w:t>本契約に定めのない事項又は解釈に疑義が生じた場合、甲乙は誠実に協議して解決する。</w:t>
      </w:r>
    </w:p>
    <w:p>
      <w:r>
        <w:t>締結日：____年__月__日</w:t>
      </w:r>
    </w:p>
    <w:tbl>
      <w:tblPr>
        <w:tblW w:type="auto" w:w="0"/>
        <w:jc w:val="center"/>
        <w:tblLook w:firstColumn="1" w:firstRow="1" w:lastColumn="0" w:lastRow="0" w:noHBand="0" w:noVBand="1" w:val="04A0"/>
      </w:tblPr>
      <w:tblGrid>
        <w:gridCol w:w="4986"/>
        <w:gridCol w:w="4986"/>
      </w:tblGrid>
      <w:tr>
        <w:tc>
          <w:tcPr>
            <w:tcW w:type="dxa" w:w="4986"/>
            <w:vAlign w:val="top"/>
          </w:tcPr>
          <w:p>
            <w:r>
              <w:t>甲</w:t>
              <w:br/>
              <w:t>住所：________________________</w:t>
              <w:br/>
              <w:t>氏名／名称：__________________</w:t>
              <w:br/>
              <w:t>署名：________________________</w:t>
            </w:r>
          </w:p>
        </w:tc>
        <w:tc>
          <w:tcPr>
            <w:tcW w:type="dxa" w:w="4986"/>
            <w:vAlign w:val="top"/>
          </w:tcPr>
          <w:p>
            <w:r>
              <w:t>乙</w:t>
              <w:br/>
              <w:t>住所：________________________</w:t>
              <w:br/>
              <w:t>名称：________________________</w:t>
              <w:br/>
              <w:t>代表者：______________________</w:t>
              <w:br/>
              <w:t>署名：________________________</w:t>
            </w:r>
          </w:p>
        </w:tc>
      </w:tr>
      <w:tr>
        <w:tc>
          <w:tcPr>
            <w:tcW w:type="dxa" w:w="9972"/>
            <w:gridSpan w:val="2"/>
          </w:tcPr>
          <w:p>
            <w:r>
              <w:t>【本目的】館内ナビゲーションサービスの実証実験・導入・業務提携の検討（必要に応じて具体化）</w:t>
            </w:r>
          </w:p>
        </w:tc>
      </w:tr>
    </w:tbl>
    <w:p>
      <w:pPr>
        <w:pStyle w:val="Heading2"/>
      </w:pPr>
      <w:r>
        <w:t>参考にした公的情報</w:t>
      </w:r>
    </w:p>
    <w:p>
      <w:r>
        <w:rPr>
          <w:b/>
        </w:rPr>
        <w:t>特許庁「発明の新規性喪失の例外規定の適用を受けるための手続について」</w:t>
        <w:br/>
      </w:r>
      <w:r>
        <w:t>https://www.jpo.go.jp/system/laws/rule/guideline/patent/hatumei_reigai.html</w:t>
      </w:r>
    </w:p>
    <w:p>
      <w:r>
        <w:rPr>
          <w:b/>
        </w:rPr>
        <w:t>中小企業庁「知的財産取引に関するガイドライン・契約書のひな形」</w:t>
        <w:br/>
      </w:r>
      <w:r>
        <w:t>https://www.chusho.meti.go.jp/keiei/torihiki/chizai_guideline.html</w:t>
      </w:r>
    </w:p>
    <w:p>
      <w:r>
        <w:rPr>
          <w:b/>
        </w:rPr>
        <w:t>消費者庁「通信販売広告について」</w:t>
        <w:br/>
      </w:r>
      <w:r>
        <w:t>https://www.no-trouble.caa.go.jp/what/mailorder/advertising.php</w:t>
      </w:r>
    </w:p>
    <w:p>
      <w:r>
        <w:rPr>
          <w:b/>
        </w:rPr>
        <w:t>個人情報保護委員会「第三者が作成したプラットフォームやアプリを活用する場合の留意事項」</w:t>
        <w:br/>
      </w:r>
      <w:r>
        <w:t>https://www.ppc.go.jp/news/careful_information/use_AP_provided_by_3rdparty/</w:t>
      </w:r>
    </w:p>
    <w:p>
      <w:r>
        <w:rPr>
          <w:b/>
        </w:rPr>
        <w:t>個人情報保護委員会「個人情報の保護に関する法律についてのガイドライン（通則編）」</w:t>
        <w:br/>
      </w:r>
      <w:r>
        <w:t>https://www.ppc.go.jp/personalinfo/legal/guidelines_tsusoku/</w:t>
      </w:r>
    </w:p>
    <w:p>
      <w:r>
        <w:t>※このテンプレートは一般的な参考資料です。契約の相手・実証内容・開示範囲によって調整し、重要な契約は弁護士・弁理士へ確認してください。</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