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200"/>
        <w:jc w:val="center"/>
        <w:rPr>
          <w:rFonts w:ascii="Marianne" w:hAnsi="Marianne" w:cs="Marianne"/>
          <w:b/>
          <w:bCs/>
          <w:sz w:val="20"/>
          <w:szCs w:val="20"/>
        </w:rPr>
      </w:pPr>
      <w:r>
        <w:rPr>
          <w:rFonts w:ascii="Marianne" w:eastAsia="Marianne" w:hAnsi="Marianne" w:cs="Marianne"/>
          <w:b/>
          <w:bCs/>
          <w:sz w:val="20"/>
          <w:szCs w:val="20"/>
        </w:rPr>
        <w:t>Charte des Ambassadeurs IA</w:t>
      </w:r>
    </w:p>
    <w:p>
      <w:pPr>
        <w:spacing w:after="200"/>
        <w:jc w:val="center"/>
        <w:rPr>
          <w:rFonts w:ascii="Marianne" w:hAnsi="Marianne" w:cs="Marianne"/>
          <w:sz w:val="20"/>
          <w:szCs w:val="20"/>
        </w:rPr>
      </w:pPr>
      <w:r>
        <w:rPr>
          <w:rFonts w:ascii="Marianne" w:eastAsia="Marianne" w:hAnsi="Marianne" w:cs="Marianne"/>
          <w:b/>
          <w:bCs/>
          <w:sz w:val="20"/>
          <w:szCs w:val="20"/>
        </w:rPr>
        <w:t>Version 2026, valable jusqu’au renouvellement de septembre 2028</w:t>
      </w:r>
    </w:p>
    <w:p>
      <w:pPr>
        <w:keepNext/>
        <w:tabs>
          <w:tab w:val="left" w:pos="3700"/>
        </w:tabs>
        <w:spacing w:before="360" w:after="160"/>
        <w:rPr>
          <w:rFonts w:ascii="Marianne" w:hAnsi="Marianne" w:cs="Marianne"/>
          <w:sz w:val="20"/>
          <w:szCs w:val="20"/>
        </w:rPr>
      </w:pPr>
      <w:r>
        <w:rPr>
          <w:rFonts w:ascii="Marianne" w:eastAsia="Marianne" w:hAnsi="Marianne" w:cs="Marianne"/>
          <w:b/>
          <w:bCs/>
          <w:sz w:val="20"/>
          <w:szCs w:val="20"/>
        </w:rPr>
        <w:t>Préambule</w:t>
      </w:r>
      <w:r>
        <w:rPr>
          <w:rFonts w:ascii="Marianne" w:eastAsia="Marianne" w:hAnsi="Marianne" w:cs="Marianne"/>
          <w:sz w:val="20"/>
          <w:szCs w:val="20"/>
        </w:rPr>
        <w:tab/>
      </w:r>
    </w:p>
    <w:p>
      <w:pPr>
        <w:pBdr>
          <w:top w:val="none" w:sz="4" w:space="0" w:color="000000"/>
          <w:left w:val="none" w:sz="4" w:space="0" w:color="000000"/>
          <w:bottom w:val="none" w:sz="4" w:space="0" w:color="000000"/>
          <w:right w:val="none" w:sz="4" w:space="0" w:color="000000"/>
        </w:pBdr>
        <w:jc w:val="both"/>
        <w:rPr>
          <w:rFonts w:ascii="Marianne" w:hAnsi="Marianne" w:cs="Marianne"/>
          <w:sz w:val="20"/>
          <w:szCs w:val="20"/>
        </w:rPr>
      </w:pPr>
      <w:r>
        <w:rPr>
          <w:rFonts w:ascii="Marianne" w:eastAsia="Marianne" w:hAnsi="Marianne" w:cs="Marianne"/>
          <w:sz w:val="20"/>
          <w:szCs w:val="20"/>
        </w:rPr>
        <w:t>Lancé le 1er juillet 2025, le plan national « Osez l’IA</w:t>
      </w:r>
      <w:r>
        <w:rPr>
          <w:rStyle w:val="Appelnotedebasdep"/>
          <w:rFonts w:ascii="Marianne" w:eastAsia="Marianne" w:hAnsi="Marianne" w:cs="Marianne"/>
          <w:sz w:val="20"/>
          <w:szCs w:val="20"/>
        </w:rPr>
        <w:footnoteReference w:id="1"/>
      </w:r>
      <w:r>
        <w:rPr>
          <w:rFonts w:ascii="Marianne" w:eastAsia="Marianne" w:hAnsi="Marianne" w:cs="Marianne"/>
          <w:sz w:val="20"/>
          <w:szCs w:val="20"/>
        </w:rPr>
        <w:t xml:space="preserve"> » vise l’adoption de l’intelligence </w:t>
      </w:r>
      <w:proofErr w:type="gramStart"/>
      <w:r>
        <w:rPr>
          <w:rFonts w:ascii="Marianne" w:eastAsia="Marianne" w:hAnsi="Marianne" w:cs="Marianne"/>
          <w:sz w:val="20"/>
          <w:szCs w:val="20"/>
        </w:rPr>
        <w:t>artificielle par</w:t>
      </w:r>
      <w:proofErr w:type="gramEnd"/>
      <w:r>
        <w:rPr>
          <w:rFonts w:ascii="Marianne" w:eastAsia="Marianne" w:hAnsi="Marianne" w:cs="Marianne"/>
          <w:sz w:val="20"/>
          <w:szCs w:val="20"/>
        </w:rPr>
        <w:t xml:space="preserve"> 100 % des grandes entreprises, 80 % des PME et ETI et 50 % des TPE d’ici 2030. En 2025-2026, les Ambassadeurs IA et l’opération nationale des CCI ont d’ores et déjà permis de sensibiliser plus de 50 000 entreprises. L’objectif pour 2026-2027 est de 100 000 entreprises.</w:t>
      </w:r>
    </w:p>
    <w:p>
      <w:pPr>
        <w:pBdr>
          <w:top w:val="none" w:sz="4" w:space="0" w:color="000000"/>
          <w:left w:val="none" w:sz="4" w:space="0" w:color="000000"/>
          <w:bottom w:val="none" w:sz="4" w:space="0" w:color="000000"/>
          <w:right w:val="none" w:sz="4" w:space="0" w:color="000000"/>
        </w:pBdr>
        <w:jc w:val="both"/>
        <w:rPr>
          <w:rFonts w:ascii="Marianne" w:hAnsi="Marianne" w:cs="Marianne"/>
          <w:sz w:val="20"/>
          <w:szCs w:val="20"/>
        </w:rPr>
      </w:pPr>
      <w:r>
        <w:rPr>
          <w:rFonts w:ascii="Marianne" w:eastAsia="Marianne" w:hAnsi="Marianne" w:cs="Marianne"/>
          <w:sz w:val="20"/>
          <w:szCs w:val="20"/>
        </w:rPr>
        <w:t>Créé par le Gouvernement dans le cadre de ce plan, le réseau des Ambassadeurs IA réunit des professionnels issus d’entreprises, de fédérations, de réseaux consulaires, d’associations, de structures publiques et d’autres organisations. Leur engagement est volontaire et bénévole, non commercial, sans rémunération ni contrepartie financière de l’État. Dans un esprit d’intérêt général, ils sensibilisent les entreprises, en particulier les TPE et les PME, et les orientent vers les ressources et dispositifs adaptés.</w:t>
      </w:r>
    </w:p>
    <w:p>
      <w:pPr>
        <w:pBdr>
          <w:top w:val="none" w:sz="4" w:space="0" w:color="000000"/>
          <w:left w:val="none" w:sz="4" w:space="0" w:color="000000"/>
          <w:bottom w:val="none" w:sz="4" w:space="0" w:color="000000"/>
          <w:right w:val="none" w:sz="4" w:space="0" w:color="000000"/>
        </w:pBdr>
        <w:jc w:val="both"/>
        <w:rPr>
          <w:rFonts w:ascii="Marianne" w:hAnsi="Marianne" w:cs="Marianne"/>
          <w:sz w:val="20"/>
          <w:szCs w:val="20"/>
        </w:rPr>
      </w:pPr>
      <w:r>
        <w:rPr>
          <w:rFonts w:ascii="Marianne" w:eastAsia="Marianne" w:hAnsi="Marianne" w:cs="Marianne"/>
          <w:sz w:val="20"/>
          <w:szCs w:val="20"/>
        </w:rPr>
        <w:t>Le titre d’Ambassadeur IA est individuel et personnel. Il est attribué à une personne et non à une organisation, mais reste lié à son activité professionnelle et prolonge souvent les travaux de l’organisation qui l’accueille. Ce titre a un caractère public : la liste des Ambassadeurs IA et leurs coordonnées professionnelles, dont leur adresse électronique, sont publiées en données ouvertes et accessibles à tous (voir article 13). Les Ambassadeurs sont donc invités à indiquer une adresse électronique dédiée à cette mission, par laquelle ils pourront être contactés par les entreprises, la DGE et l’ensemble des acteurs du réseau.</w:t>
      </w:r>
    </w:p>
    <w:p>
      <w:pPr>
        <w:pBdr>
          <w:top w:val="none" w:sz="4" w:space="0" w:color="000000"/>
          <w:left w:val="none" w:sz="4" w:space="0" w:color="000000"/>
          <w:bottom w:val="none" w:sz="4" w:space="0" w:color="000000"/>
          <w:right w:val="none" w:sz="4" w:space="0" w:color="000000"/>
        </w:pBdr>
        <w:jc w:val="both"/>
        <w:rPr>
          <w:rFonts w:ascii="Marianne" w:hAnsi="Marianne" w:cs="Marianne"/>
          <w:sz w:val="20"/>
          <w:szCs w:val="20"/>
        </w:rPr>
      </w:pPr>
      <w:r>
        <w:rPr>
          <w:rFonts w:ascii="Marianne" w:eastAsia="Marianne" w:hAnsi="Marianne" w:cs="Marianne"/>
          <w:sz w:val="20"/>
          <w:szCs w:val="20"/>
        </w:rPr>
        <w:t>Face au nombre croissant d’acteurs qui accompagnent les entreprises dans l’adoption de l’IA, le réseau leur permet aussi de s’identifier, d’échanger et de poursuivre des objectifs communs. Il s’articule avec les autres ressources et actions du plan, notamment la plateforme de cas d’usages « Accélérez avec l’IA</w:t>
      </w:r>
      <w:r>
        <w:rPr>
          <w:rStyle w:val="Appelnotedebasdep"/>
          <w:rFonts w:ascii="Marianne" w:eastAsia="Marianne" w:hAnsi="Marianne" w:cs="Marianne"/>
          <w:sz w:val="20"/>
          <w:szCs w:val="20"/>
        </w:rPr>
        <w:footnoteReference w:id="2"/>
      </w:r>
      <w:r>
        <w:rPr>
          <w:rFonts w:ascii="Marianne" w:eastAsia="Marianne" w:hAnsi="Marianne" w:cs="Marianne"/>
          <w:sz w:val="20"/>
          <w:szCs w:val="20"/>
        </w:rPr>
        <w:t xml:space="preserve"> », le catalogue d’offreurs de solutions d’IA pour les PME/ETI</w:t>
      </w:r>
      <w:r>
        <w:rPr>
          <w:rStyle w:val="Appelnotedebasdep"/>
          <w:rFonts w:ascii="Marianne" w:eastAsia="Marianne" w:hAnsi="Marianne" w:cs="Marianne"/>
          <w:sz w:val="20"/>
          <w:szCs w:val="20"/>
        </w:rPr>
        <w:footnoteReference w:id="3"/>
      </w:r>
      <w:r>
        <w:rPr>
          <w:rFonts w:ascii="Marianne" w:eastAsia="Marianne" w:hAnsi="Marianne" w:cs="Marianne"/>
          <w:sz w:val="20"/>
          <w:szCs w:val="20"/>
        </w:rPr>
        <w:t xml:space="preserve">, l’initiative France </w:t>
      </w:r>
      <w:proofErr w:type="spellStart"/>
      <w:r>
        <w:rPr>
          <w:rFonts w:ascii="Marianne" w:eastAsia="Marianne" w:hAnsi="Marianne" w:cs="Marianne"/>
          <w:sz w:val="20"/>
          <w:szCs w:val="20"/>
        </w:rPr>
        <w:t>Num</w:t>
      </w:r>
      <w:proofErr w:type="spellEnd"/>
      <w:r>
        <w:rPr>
          <w:rStyle w:val="Appelnotedebasdep"/>
          <w:rFonts w:ascii="Marianne" w:eastAsia="Marianne" w:hAnsi="Marianne" w:cs="Marianne"/>
          <w:sz w:val="20"/>
          <w:szCs w:val="20"/>
        </w:rPr>
        <w:footnoteReference w:id="4"/>
      </w:r>
      <w:r>
        <w:rPr>
          <w:rStyle w:val="Appelnotedebasdep"/>
          <w:rFonts w:ascii="Marianne" w:eastAsia="Marianne" w:hAnsi="Marianne" w:cs="Marianne"/>
          <w:sz w:val="20"/>
          <w:szCs w:val="20"/>
          <w:vertAlign w:val="baseline"/>
        </w:rPr>
        <w:t>,</w:t>
      </w:r>
      <w:r>
        <w:rPr>
          <w:rFonts w:ascii="Marianne" w:eastAsia="Marianne" w:hAnsi="Marianne" w:cs="Marianne"/>
          <w:sz w:val="20"/>
          <w:szCs w:val="20"/>
        </w:rPr>
        <w:t xml:space="preserve"> le plan « Impulsion IA 2027</w:t>
      </w:r>
      <w:r>
        <w:rPr>
          <w:rStyle w:val="Appelnotedebasdep"/>
          <w:rFonts w:ascii="Marianne" w:eastAsia="Marianne" w:hAnsi="Marianne" w:cs="Marianne"/>
          <w:sz w:val="20"/>
          <w:szCs w:val="20"/>
        </w:rPr>
        <w:footnoteReference w:id="5"/>
      </w:r>
      <w:r>
        <w:rPr>
          <w:rFonts w:ascii="Marianne" w:eastAsia="Marianne" w:hAnsi="Marianne" w:cs="Marianne"/>
          <w:sz w:val="20"/>
          <w:szCs w:val="20"/>
        </w:rPr>
        <w:t xml:space="preserve"> » (volet formation et compétences d’« Osez l’IA ») et les accompagnements opérés par Bpifrance</w:t>
      </w:r>
      <w:r>
        <w:rPr>
          <w:rStyle w:val="Appelnotedebasdep"/>
          <w:rFonts w:ascii="Marianne" w:eastAsia="Marianne" w:hAnsi="Marianne" w:cs="Marianne"/>
          <w:sz w:val="20"/>
          <w:szCs w:val="20"/>
        </w:rPr>
        <w:footnoteReference w:id="6"/>
      </w:r>
      <w:r>
        <w:rPr>
          <w:rStyle w:val="Appelnotedebasdep"/>
          <w:rFonts w:ascii="Marianne" w:eastAsia="Marianne" w:hAnsi="Marianne" w:cs="Marianne"/>
          <w:sz w:val="20"/>
          <w:szCs w:val="20"/>
          <w:vertAlign w:val="baseline"/>
        </w:rPr>
        <w:t xml:space="preserve"> ou proposés par les EDIH</w:t>
      </w:r>
      <w:r>
        <w:rPr>
          <w:rStyle w:val="Appelnotedebasdep"/>
          <w:rFonts w:ascii="Marianne" w:eastAsia="Marianne" w:hAnsi="Marianne" w:cs="Marianne"/>
          <w:sz w:val="20"/>
          <w:szCs w:val="20"/>
        </w:rPr>
        <w:footnoteReference w:id="7"/>
      </w:r>
      <w:r>
        <w:rPr>
          <w:rStyle w:val="Appelnotedebasdep"/>
          <w:rFonts w:ascii="Marianne" w:eastAsia="Marianne" w:hAnsi="Marianne" w:cs="Marianne"/>
          <w:sz w:val="20"/>
          <w:szCs w:val="20"/>
          <w:vertAlign w:val="baseline"/>
        </w:rPr>
        <w:t>.</w:t>
      </w:r>
    </w:p>
    <w:p>
      <w:pPr>
        <w:keepNext/>
        <w:spacing w:before="360" w:after="160"/>
        <w:rPr>
          <w:rFonts w:ascii="Marianne" w:hAnsi="Marianne" w:cs="Marianne"/>
          <w:sz w:val="20"/>
          <w:szCs w:val="20"/>
        </w:rPr>
      </w:pPr>
      <w:r>
        <w:rPr>
          <w:rFonts w:ascii="Marianne" w:eastAsia="Marianne" w:hAnsi="Marianne" w:cs="Marianne"/>
          <w:b/>
          <w:bCs/>
          <w:sz w:val="20"/>
          <w:szCs w:val="20"/>
        </w:rPr>
        <w:t>Article 1 – Objet de la charte</w:t>
      </w:r>
    </w:p>
    <w:p>
      <w:pPr>
        <w:spacing w:after="120" w:line="276" w:lineRule="auto"/>
        <w:jc w:val="both"/>
        <w:rPr>
          <w:rFonts w:ascii="Marianne" w:hAnsi="Marianne" w:cs="Marianne"/>
          <w:sz w:val="20"/>
          <w:szCs w:val="20"/>
        </w:rPr>
      </w:pPr>
      <w:r>
        <w:rPr>
          <w:rFonts w:ascii="Marianne" w:eastAsia="Marianne" w:hAnsi="Marianne" w:cs="Marianne"/>
          <w:sz w:val="20"/>
          <w:szCs w:val="20"/>
        </w:rPr>
        <w:t>La présente charte définit les missions des Ambassadeurs IA, les conditions d’éligibilité et les critères de sélection, les engagements et règles de conduite, les contreparties offertes, ainsi que les modalités de renouvellement et de retrait du titre. Elle constitue un référentiel sans caractère contractuel. Son acceptation et son respect conditionnent l’attribution et le maintien du titre d’Ambassadeur IA.</w:t>
      </w:r>
    </w:p>
    <w:p>
      <w:pPr>
        <w:keepNext/>
        <w:spacing w:before="360" w:after="160"/>
        <w:rPr>
          <w:rFonts w:ascii="Marianne" w:hAnsi="Marianne" w:cs="Marianne"/>
          <w:sz w:val="20"/>
          <w:szCs w:val="20"/>
        </w:rPr>
      </w:pPr>
      <w:r>
        <w:rPr>
          <w:rFonts w:ascii="Marianne" w:eastAsia="Marianne" w:hAnsi="Marianne" w:cs="Marianne"/>
          <w:b/>
          <w:bCs/>
          <w:sz w:val="20"/>
          <w:szCs w:val="20"/>
        </w:rPr>
        <w:lastRenderedPageBreak/>
        <w:t>Article 2 – Missions des Ambassadeurs IA</w:t>
      </w:r>
    </w:p>
    <w:p>
      <w:pPr>
        <w:spacing w:after="120" w:line="276" w:lineRule="auto"/>
        <w:jc w:val="both"/>
        <w:rPr>
          <w:rFonts w:ascii="Marianne" w:hAnsi="Marianne" w:cs="Marianne"/>
          <w:sz w:val="20"/>
          <w:szCs w:val="20"/>
        </w:rPr>
      </w:pPr>
      <w:r>
        <w:rPr>
          <w:rFonts w:ascii="Marianne" w:eastAsia="Marianne" w:hAnsi="Marianne" w:cs="Marianne"/>
          <w:sz w:val="20"/>
          <w:szCs w:val="20"/>
        </w:rPr>
        <w:t>La mission d’Ambassadeur IA est exercée à titre individuel et personnel, en lien avec l’activité professionnelle de l’Ambassadeur. Elle s’articule autour de cinq axes :</w:t>
      </w:r>
    </w:p>
    <w:p>
      <w:pPr>
        <w:pStyle w:val="Paragraphedeliste"/>
        <w:numPr>
          <w:ilvl w:val="0"/>
          <w:numId w:val="2"/>
        </w:numPr>
        <w:spacing w:after="60" w:line="276" w:lineRule="auto"/>
        <w:jc w:val="both"/>
        <w:rPr>
          <w:rFonts w:ascii="Marianne" w:hAnsi="Marianne" w:cs="Marianne"/>
          <w:sz w:val="20"/>
          <w:szCs w:val="20"/>
        </w:rPr>
      </w:pPr>
      <w:r>
        <w:rPr>
          <w:rFonts w:ascii="Marianne" w:eastAsia="Marianne" w:hAnsi="Marianne" w:cs="Marianne"/>
          <w:b/>
          <w:bCs/>
          <w:sz w:val="20"/>
          <w:szCs w:val="20"/>
        </w:rPr>
        <w:t xml:space="preserve">Sensibiliser les entreprises </w:t>
      </w:r>
      <w:r>
        <w:rPr>
          <w:rFonts w:ascii="Marianne" w:eastAsia="Marianne" w:hAnsi="Marianne" w:cs="Marianne"/>
          <w:sz w:val="20"/>
          <w:szCs w:val="20"/>
        </w:rPr>
        <w:t xml:space="preserve">aux bénéfices de l’IA, pour en promouvoir l’adoption, en présentant des cas d’usage concrets et des solutions, notamment françaises et européennes, adaptées au secteur et à la taille des entreprises. Les Ambassadeurs s’appuient sur les ressources du plan (plateforme de cas d’usage « Accélérez avec l’IA », catalogue d’offreurs de solutions, ressources et contenus publiés par France </w:t>
      </w:r>
      <w:proofErr w:type="spellStart"/>
      <w:r>
        <w:rPr>
          <w:rFonts w:ascii="Marianne" w:eastAsia="Marianne" w:hAnsi="Marianne" w:cs="Marianne"/>
          <w:sz w:val="20"/>
          <w:szCs w:val="20"/>
        </w:rPr>
        <w:t>Num</w:t>
      </w:r>
      <w:proofErr w:type="spellEnd"/>
      <w:r>
        <w:rPr>
          <w:rFonts w:ascii="Marianne" w:eastAsia="Marianne" w:hAnsi="Marianne" w:cs="Marianne"/>
          <w:sz w:val="20"/>
          <w:szCs w:val="20"/>
        </w:rPr>
        <w:t>, livrables des groupes de travail), ainsi que sur tout autre contenu pertinent.</w:t>
      </w:r>
    </w:p>
    <w:p>
      <w:pPr>
        <w:pStyle w:val="Paragraphedeliste"/>
        <w:numPr>
          <w:ilvl w:val="0"/>
          <w:numId w:val="2"/>
        </w:numPr>
        <w:spacing w:after="60" w:line="276" w:lineRule="auto"/>
        <w:jc w:val="both"/>
        <w:rPr>
          <w:rFonts w:ascii="Marianne" w:hAnsi="Marianne" w:cs="Marianne"/>
          <w:sz w:val="20"/>
          <w:szCs w:val="20"/>
        </w:rPr>
      </w:pPr>
      <w:r>
        <w:rPr>
          <w:rFonts w:ascii="Marianne" w:eastAsia="Marianne" w:hAnsi="Marianne" w:cs="Marianne"/>
          <w:b/>
          <w:bCs/>
          <w:sz w:val="20"/>
          <w:szCs w:val="20"/>
        </w:rPr>
        <w:t>Orienter les entreprises</w:t>
      </w:r>
      <w:r>
        <w:rPr>
          <w:rFonts w:ascii="Marianne" w:eastAsia="Marianne" w:hAnsi="Marianne" w:cs="Marianne"/>
          <w:sz w:val="20"/>
          <w:szCs w:val="20"/>
        </w:rPr>
        <w:t xml:space="preserve"> qui les sollicitent, de manière bienveillante et adaptée à leur profil, vers les dispositifs publics pertinents (réseaux consulaires, dispositifs de formation ou d’accompagnement mis en œuvre dans le cadre d’« Impulsion IA 2027 », accompagnements opérés par Bpifrance, EDIH, autres Ambassadeurs IA, aides financières).</w:t>
      </w:r>
    </w:p>
    <w:p>
      <w:pPr>
        <w:pStyle w:val="Paragraphedeliste"/>
        <w:numPr>
          <w:ilvl w:val="0"/>
          <w:numId w:val="2"/>
        </w:numPr>
        <w:spacing w:after="60" w:line="276" w:lineRule="auto"/>
        <w:jc w:val="both"/>
        <w:rPr>
          <w:rFonts w:ascii="Marianne" w:hAnsi="Marianne" w:cs="Marianne"/>
          <w:sz w:val="20"/>
          <w:szCs w:val="20"/>
        </w:rPr>
      </w:pPr>
      <w:r>
        <w:rPr>
          <w:rFonts w:ascii="Marianne" w:eastAsia="Marianne" w:hAnsi="Marianne" w:cs="Marianne"/>
          <w:b/>
          <w:bCs/>
          <w:sz w:val="20"/>
          <w:szCs w:val="20"/>
        </w:rPr>
        <w:t>Faire remonter le terrain</w:t>
      </w:r>
      <w:r>
        <w:rPr>
          <w:rFonts w:ascii="Marianne" w:eastAsia="Marianne" w:hAnsi="Marianne" w:cs="Marianne"/>
          <w:sz w:val="20"/>
          <w:szCs w:val="20"/>
        </w:rPr>
        <w:t xml:space="preserve"> auprès de l’État : freins et leviers à l’adoption de l’IA identifiés, besoins des entreprises, cas d’usage et histoires de réussite, recommandations.</w:t>
      </w:r>
    </w:p>
    <w:p>
      <w:pPr>
        <w:pStyle w:val="Paragraphedeliste"/>
        <w:numPr>
          <w:ilvl w:val="0"/>
          <w:numId w:val="2"/>
        </w:numPr>
        <w:spacing w:after="60" w:line="276" w:lineRule="auto"/>
        <w:jc w:val="both"/>
        <w:rPr>
          <w:rFonts w:ascii="Marianne" w:hAnsi="Marianne" w:cs="Marianne"/>
          <w:sz w:val="20"/>
          <w:szCs w:val="20"/>
        </w:rPr>
      </w:pPr>
      <w:r>
        <w:rPr>
          <w:rFonts w:ascii="Marianne" w:eastAsia="Marianne" w:hAnsi="Marianne" w:cs="Marianne"/>
          <w:b/>
          <w:bCs/>
          <w:sz w:val="20"/>
          <w:szCs w:val="20"/>
        </w:rPr>
        <w:t xml:space="preserve">Participer aux travaux mutualisés des Ambassadeurs : </w:t>
      </w:r>
      <w:r>
        <w:rPr>
          <w:rFonts w:ascii="Marianne" w:eastAsia="Marianne" w:hAnsi="Marianne" w:cs="Marianne"/>
          <w:sz w:val="20"/>
          <w:szCs w:val="20"/>
        </w:rPr>
        <w:t>contribuer aux groupes de travail thématiques du réseau,</w:t>
      </w:r>
      <w:r>
        <w:rPr>
          <w:rFonts w:ascii="Marianne" w:eastAsia="Marianne" w:hAnsi="Marianne" w:cs="Marianne"/>
          <w:sz w:val="20"/>
          <w:szCs w:val="20"/>
        </w:rPr>
        <w:t xml:space="preserve"> organiser, coorganiser ou participer à des événements à forte valeur ajoutée pour les entreprises.</w:t>
      </w:r>
    </w:p>
    <w:p>
      <w:pPr>
        <w:pStyle w:val="Paragraphedeliste"/>
        <w:numPr>
          <w:ilvl w:val="0"/>
          <w:numId w:val="2"/>
        </w:numPr>
        <w:spacing w:after="60" w:line="276" w:lineRule="auto"/>
        <w:jc w:val="both"/>
        <w:rPr>
          <w:rFonts w:ascii="Marianne" w:hAnsi="Marianne" w:cs="Marianne"/>
          <w:sz w:val="20"/>
          <w:szCs w:val="20"/>
        </w:rPr>
      </w:pPr>
      <w:r>
        <w:rPr>
          <w:rFonts w:ascii="Marianne" w:eastAsia="Marianne" w:hAnsi="Marianne" w:cs="Marianne"/>
          <w:b/>
          <w:bCs/>
          <w:sz w:val="20"/>
          <w:szCs w:val="20"/>
        </w:rPr>
        <w:t>Contribuer à un écosystème local ou sectoriel coordonné</w:t>
      </w:r>
      <w:r>
        <w:rPr>
          <w:rFonts w:ascii="Marianne" w:eastAsia="Marianne" w:hAnsi="Marianne" w:cs="Marianne"/>
          <w:sz w:val="20"/>
          <w:szCs w:val="20"/>
        </w:rPr>
        <w:t xml:space="preserve"> en se faisant connaître des autres acteurs qui accompagnent les entreprises dans l’adoption de l’IA, et en menant des travaux ou actions communs avec cet écosystème.</w:t>
      </w:r>
    </w:p>
    <w:p>
      <w:pPr>
        <w:keepNext/>
        <w:spacing w:before="360" w:after="160"/>
        <w:rPr>
          <w:rFonts w:ascii="Marianne" w:hAnsi="Marianne" w:cs="Marianne"/>
          <w:sz w:val="20"/>
          <w:szCs w:val="20"/>
        </w:rPr>
      </w:pPr>
      <w:r>
        <w:rPr>
          <w:rFonts w:ascii="Marianne" w:eastAsia="Marianne" w:hAnsi="Marianne" w:cs="Marianne"/>
          <w:b/>
          <w:bCs/>
          <w:sz w:val="20"/>
          <w:szCs w:val="20"/>
        </w:rPr>
        <w:t>Article 3 – Organisation du réseau</w:t>
      </w:r>
    </w:p>
    <w:p>
      <w:pPr>
        <w:spacing w:after="120" w:line="276" w:lineRule="auto"/>
        <w:jc w:val="both"/>
        <w:rPr>
          <w:rFonts w:ascii="Marianne" w:hAnsi="Marianne" w:cs="Marianne"/>
          <w:sz w:val="20"/>
          <w:szCs w:val="20"/>
        </w:rPr>
      </w:pPr>
      <w:r>
        <w:rPr>
          <w:rFonts w:ascii="Marianne" w:eastAsia="Marianne" w:hAnsi="Marianne" w:cs="Marianne"/>
          <w:sz w:val="20"/>
          <w:szCs w:val="20"/>
        </w:rPr>
        <w:t xml:space="preserve">Le réseau est piloté par la </w:t>
      </w:r>
      <w:r>
        <w:rPr>
          <w:rFonts w:ascii="Marianne" w:eastAsia="Marianne" w:hAnsi="Marianne" w:cs="Marianne"/>
          <w:b/>
          <w:bCs/>
          <w:sz w:val="20"/>
          <w:szCs w:val="20"/>
        </w:rPr>
        <w:t>Direction générale des entreprises (DGE)</w:t>
      </w:r>
      <w:r>
        <w:rPr>
          <w:rFonts w:ascii="Marianne" w:eastAsia="Marianne" w:hAnsi="Marianne" w:cs="Marianne"/>
          <w:sz w:val="20"/>
          <w:szCs w:val="20"/>
        </w:rPr>
        <w:t>, qui statue sur l’admission, le renouvellement et le retrait du titre.</w:t>
      </w:r>
    </w:p>
    <w:p>
      <w:pPr>
        <w:spacing w:after="120" w:line="276" w:lineRule="auto"/>
        <w:jc w:val="both"/>
        <w:rPr>
          <w:rFonts w:ascii="Marianne" w:hAnsi="Marianne" w:cs="Marianne"/>
          <w:sz w:val="20"/>
          <w:szCs w:val="20"/>
        </w:rPr>
      </w:pPr>
      <w:r>
        <w:rPr>
          <w:rFonts w:ascii="Marianne" w:eastAsia="Marianne" w:hAnsi="Marianne" w:cs="Marianne"/>
          <w:sz w:val="20"/>
          <w:szCs w:val="20"/>
        </w:rPr>
        <w:t xml:space="preserve">Les </w:t>
      </w:r>
      <w:r>
        <w:rPr>
          <w:rFonts w:ascii="Marianne" w:eastAsia="Marianne" w:hAnsi="Marianne" w:cs="Marianne"/>
          <w:b/>
          <w:bCs/>
          <w:sz w:val="20"/>
          <w:szCs w:val="20"/>
        </w:rPr>
        <w:t>référents Ambassadeurs IA, issus de l’administration</w:t>
      </w:r>
      <w:r>
        <w:rPr>
          <w:rFonts w:ascii="Marianne" w:eastAsia="Marianne" w:hAnsi="Marianne" w:cs="Marianne"/>
          <w:sz w:val="20"/>
          <w:szCs w:val="20"/>
        </w:rPr>
        <w:t>, régionaux (au sein des DREETS</w:t>
      </w:r>
      <w:r>
        <w:rPr>
          <w:rStyle w:val="Appelnotedebasdep"/>
          <w:rFonts w:ascii="Marianne" w:eastAsia="Marianne" w:hAnsi="Marianne" w:cs="Marianne"/>
          <w:sz w:val="20"/>
          <w:szCs w:val="20"/>
        </w:rPr>
        <w:footnoteReference w:id="8"/>
      </w:r>
      <w:r>
        <w:rPr>
          <w:rFonts w:ascii="Marianne" w:eastAsia="Marianne" w:hAnsi="Marianne" w:cs="Marianne"/>
          <w:sz w:val="20"/>
          <w:szCs w:val="20"/>
        </w:rPr>
        <w:t>) et sectoriels, animent le réseau sur leur périmètre, accompagnent les Ambassadeurs, suivent leur activité et rendent un avis à la DGE lors de la sélection et du renouvellement.</w:t>
      </w:r>
    </w:p>
    <w:p>
      <w:pPr>
        <w:spacing w:after="120" w:line="276" w:lineRule="auto"/>
        <w:jc w:val="both"/>
        <w:rPr>
          <w:rFonts w:ascii="Marianne" w:hAnsi="Marianne" w:cs="Marianne"/>
          <w:sz w:val="20"/>
          <w:szCs w:val="20"/>
        </w:rPr>
      </w:pPr>
      <w:r>
        <w:rPr>
          <w:rFonts w:ascii="Marianne" w:eastAsia="Marianne" w:hAnsi="Marianne" w:cs="Marianne"/>
          <w:sz w:val="20"/>
          <w:szCs w:val="20"/>
        </w:rPr>
        <w:t>Chaque Ambassadeur IA est rattaché à un référent régional ou sectoriel, dont la liste lui est communiquée par l’équipe de pilotage « Osez l’IA ». Il est tenu de connaître son référent et d’avoir un échange avec lui, sauf en l’absence de référent sur son périmètre. Le référent est l’interlocuteur privilégié de l’Ambassadeur : l’essentiel des échanges passe par lui, à l’exception des informations transmises directement par l’équipe de pilotage de la DGE.</w:t>
      </w:r>
    </w:p>
    <w:p>
      <w:pPr>
        <w:spacing w:after="120" w:line="276" w:lineRule="auto"/>
        <w:jc w:val="both"/>
        <w:rPr>
          <w:rFonts w:ascii="Marianne" w:hAnsi="Marianne" w:cs="Marianne"/>
          <w:sz w:val="20"/>
          <w:szCs w:val="20"/>
        </w:rPr>
      </w:pPr>
      <w:r>
        <w:rPr>
          <w:rFonts w:ascii="Marianne" w:eastAsia="Marianne" w:hAnsi="Marianne" w:cs="Marianne"/>
          <w:sz w:val="20"/>
          <w:szCs w:val="20"/>
        </w:rPr>
        <w:lastRenderedPageBreak/>
        <w:t>Les Ambassadeurs IA utilisent les outils du réseau, dont l’usage est obligatoire : espace collaboratif Resana, salons de la messagerie instantanée sécurisée Tchap, agenda ouvert des Ambassadeurs IA</w:t>
      </w:r>
      <w:r>
        <w:rPr>
          <w:rStyle w:val="Appelnotedebasdep"/>
          <w:rFonts w:ascii="Marianne" w:eastAsia="Marianne" w:hAnsi="Marianne" w:cs="Marianne"/>
          <w:sz w:val="20"/>
          <w:szCs w:val="20"/>
        </w:rPr>
        <w:footnoteReference w:id="9"/>
      </w:r>
      <w:r>
        <w:rPr>
          <w:rFonts w:ascii="Marianne" w:eastAsia="Marianne" w:hAnsi="Marianne" w:cs="Marianne"/>
          <w:sz w:val="20"/>
          <w:szCs w:val="20"/>
        </w:rPr>
        <w:t xml:space="preserve"> et outil de déclaration des actions mis à disposition par la DGE.</w:t>
      </w:r>
    </w:p>
    <w:p>
      <w:pPr>
        <w:keepNext/>
        <w:spacing w:before="360" w:after="160"/>
        <w:rPr>
          <w:rFonts w:ascii="Marianne" w:hAnsi="Marianne" w:cs="Marianne"/>
          <w:sz w:val="20"/>
          <w:szCs w:val="20"/>
        </w:rPr>
      </w:pPr>
      <w:r>
        <w:rPr>
          <w:rFonts w:ascii="Marianne" w:eastAsia="Marianne" w:hAnsi="Marianne" w:cs="Marianne"/>
          <w:b/>
          <w:bCs/>
          <w:sz w:val="20"/>
          <w:szCs w:val="20"/>
        </w:rPr>
        <w:t>Article 4 – Conditions d’éligibilité</w:t>
      </w:r>
    </w:p>
    <w:p>
      <w:pPr>
        <w:spacing w:after="120" w:line="276" w:lineRule="auto"/>
        <w:jc w:val="both"/>
        <w:rPr>
          <w:rFonts w:ascii="Marianne" w:hAnsi="Marianne" w:cs="Marianne"/>
          <w:sz w:val="20"/>
          <w:szCs w:val="20"/>
        </w:rPr>
      </w:pPr>
      <w:r>
        <w:rPr>
          <w:rFonts w:ascii="Marianne" w:eastAsia="Marianne" w:hAnsi="Marianne" w:cs="Marianne"/>
          <w:sz w:val="20"/>
          <w:szCs w:val="20"/>
        </w:rPr>
        <w:t>Peut candidater tout professionnel remplissant l’ensemble des conditions suivantes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exercer depuis au moins six mois dans une structure immatriculée au registre national des entreprises</w:t>
      </w:r>
      <w:r>
        <w:rPr>
          <w:rStyle w:val="Appelnotedebasdep"/>
          <w:rFonts w:ascii="Marianne" w:eastAsia="Marianne" w:hAnsi="Marianne" w:cs="Marianne"/>
          <w:sz w:val="20"/>
          <w:szCs w:val="20"/>
        </w:rPr>
        <w:footnoteReference w:id="10"/>
      </w:r>
      <w:r>
        <w:rPr>
          <w:rFonts w:ascii="Marianne" w:eastAsia="Marianne" w:hAnsi="Marianne" w:cs="Marianne"/>
          <w:sz w:val="20"/>
          <w:szCs w:val="20"/>
        </w:rPr>
        <w:t xml:space="preserve">, à jour de ses obligations fiscales et sociales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exercer une activité économique ou d’intérêt général en lien avec l’IA ou la transformation numérique des entreprises (par exemple : dirigeant d’entreprise utilisatrice, consultant, éditeur de solutions, fédération ou syndicat professionnel, chambre consulaire, structure publique, association spécialisée)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respecter la réglementation applicable, notamment le règlement général sur la protection des données (RGPD) et le règlement européen sur l’intelligence artificielle (RIA)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disposer de l’accord explicite du représentant légal de sa structure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démontrer une activité bénévole et non commerciale de sensibilisation des entreprises aux enjeux et aux bénéfices de l’IA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avoir une communication professionnelle, notamment en ligne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accepter la présente charte.</w:t>
      </w:r>
    </w:p>
    <w:p>
      <w:pPr>
        <w:spacing w:before="120" w:after="120" w:line="276" w:lineRule="auto"/>
        <w:jc w:val="both"/>
        <w:rPr>
          <w:rFonts w:ascii="Marianne" w:hAnsi="Marianne" w:cs="Marianne"/>
          <w:sz w:val="20"/>
          <w:szCs w:val="20"/>
        </w:rPr>
      </w:pPr>
      <w:r>
        <w:rPr>
          <w:rFonts w:ascii="Marianne" w:eastAsia="Marianne" w:hAnsi="Marianne" w:cs="Marianne"/>
          <w:sz w:val="20"/>
          <w:szCs w:val="20"/>
        </w:rPr>
        <w:t>Le titre d’Ambassadeur IA est attribué à titre personnel, à un professionnel nommément désigné, et non à sa structure.</w:t>
      </w:r>
    </w:p>
    <w:p>
      <w:pPr>
        <w:keepNext/>
        <w:spacing w:before="360" w:after="160"/>
        <w:rPr>
          <w:rFonts w:ascii="Marianne" w:hAnsi="Marianne" w:cs="Marianne"/>
          <w:sz w:val="20"/>
          <w:szCs w:val="20"/>
        </w:rPr>
      </w:pPr>
      <w:r>
        <w:rPr>
          <w:rFonts w:ascii="Marianne" w:eastAsia="Marianne" w:hAnsi="Marianne" w:cs="Marianne"/>
          <w:b/>
          <w:bCs/>
          <w:sz w:val="20"/>
          <w:szCs w:val="20"/>
        </w:rPr>
        <w:t>Article 5 – Critères de sélection</w:t>
      </w:r>
    </w:p>
    <w:p>
      <w:pPr>
        <w:spacing w:after="120" w:line="276" w:lineRule="auto"/>
        <w:jc w:val="both"/>
        <w:rPr>
          <w:rFonts w:ascii="Marianne" w:hAnsi="Marianne" w:cs="Marianne"/>
          <w:sz w:val="20"/>
          <w:szCs w:val="20"/>
        </w:rPr>
      </w:pPr>
      <w:r>
        <w:rPr>
          <w:rFonts w:ascii="Marianne" w:eastAsia="Marianne" w:hAnsi="Marianne" w:cs="Marianne"/>
          <w:sz w:val="20"/>
          <w:szCs w:val="20"/>
        </w:rPr>
        <w:t>Les candidatures éligibles sont appréciées au regard des quatre critères suivants :</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a) Connaissance des enjeux du numérique et de l’IA pour les entreprises</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b) Ancrage dans l’écosystème</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c) Capacité et volonté d’agir</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d) Posture et communication appropriées</w:t>
      </w:r>
    </w:p>
    <w:p>
      <w:pPr>
        <w:spacing w:before="120" w:after="120" w:line="276" w:lineRule="auto"/>
        <w:jc w:val="both"/>
        <w:rPr>
          <w:rFonts w:ascii="Marianne" w:hAnsi="Marianne" w:cs="Marianne"/>
          <w:sz w:val="20"/>
          <w:szCs w:val="20"/>
        </w:rPr>
      </w:pPr>
      <w:r>
        <w:rPr>
          <w:rFonts w:ascii="Marianne" w:eastAsia="Marianne" w:hAnsi="Marianne" w:cs="Marianne"/>
          <w:sz w:val="20"/>
          <w:szCs w:val="20"/>
        </w:rPr>
        <w:t>Chaque critère fait l’objet d’une appréciation. Le critère d) est éliminatoire. Pour l’apprécier, la DGE et les référents peuvent consulter les informations rendues publiques par le candidat.</w:t>
      </w:r>
    </w:p>
    <w:p>
      <w:pPr>
        <w:keepNext/>
        <w:spacing w:before="360" w:after="160"/>
        <w:rPr>
          <w:rFonts w:ascii="Marianne" w:hAnsi="Marianne" w:cs="Marianne"/>
          <w:sz w:val="20"/>
          <w:szCs w:val="20"/>
        </w:rPr>
      </w:pPr>
      <w:r>
        <w:rPr>
          <w:rFonts w:ascii="Marianne" w:eastAsia="Marianne" w:hAnsi="Marianne" w:cs="Marianne"/>
          <w:b/>
          <w:bCs/>
          <w:sz w:val="20"/>
          <w:szCs w:val="20"/>
        </w:rPr>
        <w:lastRenderedPageBreak/>
        <w:t>Article 6 – Candidature et sélection</w:t>
      </w:r>
    </w:p>
    <w:p>
      <w:pPr>
        <w:spacing w:after="120" w:line="276" w:lineRule="auto"/>
        <w:jc w:val="both"/>
        <w:rPr>
          <w:rFonts w:ascii="Marianne" w:hAnsi="Marianne" w:cs="Marianne"/>
          <w:sz w:val="20"/>
          <w:szCs w:val="20"/>
        </w:rPr>
      </w:pPr>
      <w:r>
        <w:rPr>
          <w:rFonts w:ascii="Marianne" w:eastAsia="Marianne" w:hAnsi="Marianne" w:cs="Marianne"/>
          <w:sz w:val="20"/>
          <w:szCs w:val="20"/>
        </w:rPr>
        <w:t xml:space="preserve">Les candidatures sont reçues lors de campagnes de sélection dont le calendrier est annoncé par la DGE. Elles sont déposées en ligne, à l’adresse indiquée par la DGE dans l’annonce </w:t>
      </w:r>
      <w:proofErr w:type="gramStart"/>
      <w:r>
        <w:rPr>
          <w:rFonts w:ascii="Marianne" w:eastAsia="Marianne" w:hAnsi="Marianne" w:cs="Marianne"/>
          <w:sz w:val="20"/>
          <w:szCs w:val="20"/>
        </w:rPr>
        <w:t>des campagnes</w:t>
      </w:r>
      <w:proofErr w:type="gramEnd"/>
      <w:r>
        <w:rPr>
          <w:rFonts w:ascii="Marianne" w:eastAsia="Marianne" w:hAnsi="Marianne" w:cs="Marianne"/>
          <w:sz w:val="20"/>
          <w:szCs w:val="20"/>
        </w:rPr>
        <w:t xml:space="preserve"> de </w:t>
      </w:r>
      <w:proofErr w:type="spellStart"/>
      <w:r>
        <w:rPr>
          <w:rFonts w:ascii="Marianne" w:eastAsia="Marianne" w:hAnsi="Marianne" w:cs="Marianne"/>
          <w:sz w:val="20"/>
          <w:szCs w:val="20"/>
        </w:rPr>
        <w:t>sélection. La</w:t>
      </w:r>
      <w:proofErr w:type="spellEnd"/>
      <w:r>
        <w:rPr>
          <w:rFonts w:ascii="Marianne" w:eastAsia="Marianne" w:hAnsi="Marianne" w:cs="Marianne"/>
          <w:sz w:val="20"/>
          <w:szCs w:val="20"/>
        </w:rPr>
        <w:t xml:space="preserve"> DGE instruit les dossiers en lien avec les DREETS et les référents sectoriels. Elle peut demander des compléments.</w:t>
      </w:r>
    </w:p>
    <w:p>
      <w:pPr>
        <w:keepNext/>
        <w:spacing w:before="360" w:after="160"/>
        <w:rPr>
          <w:rFonts w:ascii="Marianne" w:hAnsi="Marianne" w:cs="Marianne"/>
          <w:sz w:val="20"/>
          <w:szCs w:val="20"/>
        </w:rPr>
      </w:pPr>
      <w:r>
        <w:rPr>
          <w:rFonts w:ascii="Marianne" w:eastAsia="Marianne" w:hAnsi="Marianne" w:cs="Marianne"/>
          <w:b/>
          <w:bCs/>
          <w:sz w:val="20"/>
          <w:szCs w:val="20"/>
        </w:rPr>
        <w:t>Article 7 – Engagements de l’Ambassadeur IA</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7.1 Envers les entreprises</w:t>
      </w:r>
    </w:p>
    <w:p>
      <w:pPr>
        <w:spacing w:after="120" w:line="276" w:lineRule="auto"/>
        <w:jc w:val="both"/>
        <w:rPr>
          <w:rFonts w:ascii="Marianne" w:hAnsi="Marianne" w:cs="Marianne"/>
          <w:sz w:val="20"/>
          <w:szCs w:val="20"/>
        </w:rPr>
      </w:pPr>
      <w:r>
        <w:rPr>
          <w:rFonts w:ascii="Marianne" w:eastAsia="Marianne" w:hAnsi="Marianne" w:cs="Marianne"/>
          <w:sz w:val="20"/>
          <w:szCs w:val="20"/>
        </w:rPr>
        <w:t>L’Ambassadeur IA s’engage à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offrir un accueil professionnel et bienveillant : écoute, clarté des échanges, respect du temps des interlocuteurs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identifier les besoins de l’entreprise et y répondre dans son meilleur intérêt, en s’appuyant sur les ressources du plan et en veillant, dans le cadre du plan Osez l’IA, à rester dans une démarche non commerciale;</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orienter l’entreprise vers les dispositifs et acteurs pertinents pour leurs projets.</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7.2 Activité et suivi</w:t>
      </w:r>
    </w:p>
    <w:p>
      <w:pPr>
        <w:spacing w:after="120" w:line="276" w:lineRule="auto"/>
        <w:jc w:val="both"/>
        <w:rPr>
          <w:rFonts w:ascii="Marianne" w:hAnsi="Marianne" w:cs="Marianne"/>
          <w:sz w:val="20"/>
          <w:szCs w:val="20"/>
        </w:rPr>
      </w:pPr>
      <w:r>
        <w:rPr>
          <w:rFonts w:ascii="Marianne" w:eastAsia="Marianne" w:hAnsi="Marianne" w:cs="Marianne"/>
          <w:sz w:val="20"/>
          <w:szCs w:val="20"/>
        </w:rPr>
        <w:t>L’Ambassadeur IA s’engage à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mener au moins 12 actions de sensibilisation par an, soit une action par mois en moyenne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déclarer ses actions au fil de l’eau dans l’outil prévu à cet effet, en indiquant la date, le format, le public visé et le nombre d’entreprises sensibilisées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publier ses événements ouverts au public sur l’agenda ouvert des Ambassadeurs IA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répondre aux enquêtes de suivi d’activité et de satisfaction de la DGE.</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7.3 Actions de sensibilisation prises en compte</w:t>
      </w:r>
    </w:p>
    <w:p>
      <w:pPr>
        <w:spacing w:after="120" w:line="276" w:lineRule="auto"/>
        <w:jc w:val="both"/>
        <w:rPr>
          <w:rFonts w:ascii="Marianne" w:hAnsi="Marianne" w:cs="Marianne"/>
          <w:sz w:val="20"/>
          <w:szCs w:val="20"/>
        </w:rPr>
      </w:pPr>
      <w:r>
        <w:rPr>
          <w:rFonts w:ascii="Marianne" w:eastAsia="Marianne" w:hAnsi="Marianne" w:cs="Marianne"/>
          <w:sz w:val="20"/>
          <w:szCs w:val="20"/>
        </w:rPr>
        <w:t>Est considérée comme une action de sensibilisation toute action gratuite pour les entreprises, sans contenu commercial, ayant pour objet de leur faire connaître les enjeux, les usages et les bénéfices de l’IA, ou les dispositifs du plan. Sont notamment prises en compte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 xml:space="preserve">l’organisation ou la </w:t>
      </w:r>
      <w:proofErr w:type="spellStart"/>
      <w:r>
        <w:rPr>
          <w:rFonts w:ascii="Marianne" w:eastAsia="Marianne" w:hAnsi="Marianne" w:cs="Marianne"/>
          <w:sz w:val="20"/>
          <w:szCs w:val="20"/>
        </w:rPr>
        <w:t>coorganisation</w:t>
      </w:r>
      <w:proofErr w:type="spellEnd"/>
      <w:r>
        <w:rPr>
          <w:rFonts w:ascii="Marianne" w:eastAsia="Marianne" w:hAnsi="Marianne" w:cs="Marianne"/>
          <w:sz w:val="20"/>
          <w:szCs w:val="20"/>
        </w:rPr>
        <w:t xml:space="preserve"> d’un événement collectif consacré à l’IA : atelier, conférence, webinaire, petit-déjeuner, table ronde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une intervention sur l’IA lors d’un événement organisé par un tiers : réseau consulaire, fédération professionnelle, club d’entreprises, collectivité, salon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un entretien individuel d’information ou d’orientation avec un dirigeant ou un représentant d’entreprise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la tenue d’un stand ou d’un point d’information lors d’un salon ou d’un événement d’entreprises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lastRenderedPageBreak/>
        <w:t>la contribution à un livrable du réseau destiné aux entreprises : guide sectoriel, kit, fiche de cas d’usage, témoignage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la publication en ligne d’un contenu produit par l’Ambassadeur qui aide les entreprises dans leur parcours d’adoption de l’IA : guide, fiche pratique, tutoriel, article, vidéo.</w:t>
      </w:r>
    </w:p>
    <w:p>
      <w:pPr>
        <w:spacing w:before="120" w:after="120" w:line="276" w:lineRule="auto"/>
        <w:jc w:val="both"/>
        <w:rPr>
          <w:rFonts w:ascii="Marianne" w:hAnsi="Marianne" w:cs="Marianne"/>
          <w:sz w:val="20"/>
          <w:szCs w:val="20"/>
        </w:rPr>
      </w:pPr>
      <w:r>
        <w:rPr>
          <w:rFonts w:ascii="Marianne" w:eastAsia="Marianne" w:hAnsi="Marianne" w:cs="Marianne"/>
          <w:sz w:val="20"/>
          <w:szCs w:val="20"/>
        </w:rPr>
        <w:t>Ne sont pas prises en compte : les rendez-vous et présentations commerciales, les prestations facturées (conseil, formation, accompagnement), la simple participation à un événement en tant qu’auditeur, les réunions internes du réseau, ainsi que les publications en ligne à caractère promotionnel ou se limitant à relayer des contenus de tiers.</w:t>
      </w:r>
    </w:p>
    <w:p>
      <w:pPr>
        <w:spacing w:after="120" w:line="276" w:lineRule="auto"/>
        <w:jc w:val="both"/>
        <w:rPr>
          <w:rFonts w:ascii="Marianne" w:hAnsi="Marianne" w:cs="Marianne"/>
          <w:sz w:val="20"/>
          <w:szCs w:val="20"/>
        </w:rPr>
      </w:pPr>
      <w:r>
        <w:rPr>
          <w:rFonts w:ascii="Marianne" w:eastAsia="Marianne" w:hAnsi="Marianne" w:cs="Marianne"/>
          <w:sz w:val="20"/>
          <w:szCs w:val="20"/>
        </w:rPr>
        <w:t>Un événement compte pour une action, quelle que soit sa durée ; chaque session d’un cycle compte pour une action. Est considérée comme sensibilisée toute entreprise dont un représentant a participé à une action de sensibilisation ou a bénéficié d’un entretien individuel avec l’Ambassadeur ; une même entreprise n’est comptée qu’une fois par action.</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7.4 Participation au réseau</w:t>
      </w:r>
    </w:p>
    <w:p>
      <w:pPr>
        <w:spacing w:after="120" w:line="276" w:lineRule="auto"/>
        <w:jc w:val="both"/>
        <w:rPr>
          <w:rFonts w:ascii="Marianne" w:hAnsi="Marianne" w:cs="Marianne"/>
          <w:sz w:val="20"/>
          <w:szCs w:val="20"/>
        </w:rPr>
      </w:pPr>
      <w:r>
        <w:rPr>
          <w:rFonts w:ascii="Marianne" w:eastAsia="Marianne" w:hAnsi="Marianne" w:cs="Marianne"/>
          <w:sz w:val="20"/>
          <w:szCs w:val="20"/>
        </w:rPr>
        <w:t>L’Ambassadeur IA s’engage à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rejoindre et consulter régulièrement les outils du réseau mentionnés à l’article 3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participer aux réunions d’information et d’animation organisées par la DGE et les référents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partager les cas d’usage, histoires de réussite et solutions ayant démontré leur utilité, selon les formats définis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contribuer, selon ses compétences, aux groupes de travail thématiques du réseau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relayer dans ses canaux professionnels les messages de communication du plan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prendre contact avec son référent régional ou sectoriel et échanger avec lui selon le rythme qu’il propose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se rendre disponible, dans la mesure du possible, pour des déplacements officiels ou des rencontres institutionnelles à la demande des services de l’État.</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7.5 Obligations administratives</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tenir à jour ses informations auprès de la DGE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signaler tout changement de situation, notamment un changement de structure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déclarer tout conflit d’intérêts, même potentiel, entre son activité principale et sa mission d’Ambassadeur.</w:t>
      </w:r>
    </w:p>
    <w:p>
      <w:pPr>
        <w:keepNext/>
        <w:spacing w:before="360" w:after="160"/>
        <w:rPr>
          <w:rFonts w:ascii="Marianne" w:hAnsi="Marianne" w:cs="Marianne"/>
          <w:sz w:val="20"/>
          <w:szCs w:val="20"/>
        </w:rPr>
      </w:pPr>
      <w:r>
        <w:rPr>
          <w:rFonts w:ascii="Marianne" w:eastAsia="Marianne" w:hAnsi="Marianne" w:cs="Marianne"/>
          <w:b/>
          <w:bCs/>
          <w:sz w:val="20"/>
          <w:szCs w:val="20"/>
        </w:rPr>
        <w:t>Article 8 – Règles de conduite et de communication</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8.1 Intérêt général et neutralité</w:t>
      </w:r>
    </w:p>
    <w:p>
      <w:pPr>
        <w:spacing w:after="120" w:line="276" w:lineRule="auto"/>
        <w:jc w:val="both"/>
        <w:rPr>
          <w:rFonts w:ascii="Marianne" w:hAnsi="Marianne" w:cs="Marianne"/>
          <w:sz w:val="20"/>
          <w:szCs w:val="20"/>
        </w:rPr>
      </w:pPr>
      <w:r>
        <w:rPr>
          <w:rFonts w:ascii="Marianne" w:eastAsia="Marianne" w:hAnsi="Marianne" w:cs="Marianne"/>
          <w:sz w:val="20"/>
          <w:szCs w:val="20"/>
        </w:rPr>
        <w:t xml:space="preserve">Le titre d’Ambassadeur IA ne peut être utilisé à des fins de prospection ou de promotion commerciale. L’Ambassadeur présente, lorsque c’est pertinent, plusieurs solutions et oriente </w:t>
      </w:r>
      <w:r>
        <w:rPr>
          <w:rFonts w:ascii="Marianne" w:eastAsia="Marianne" w:hAnsi="Marianne" w:cs="Marianne"/>
          <w:sz w:val="20"/>
          <w:szCs w:val="20"/>
        </w:rPr>
        <w:lastRenderedPageBreak/>
        <w:t>vers le catalogue d’offreurs de solution mis en œuvre dans le cadre du plan « Osez l’IA ». Les sollicitations reçues en sa qualité d’Ambassadeur IA ne sont pas traitées comme des prospects commerciaux.</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8.2 Communication</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utiliser le titre « Ambassadeur IA » et le logo « Osez l’IA » conformément au règlement d’usage et au kit de communication fournis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ne pas s’exprimer au nom de l’État, de la DGE ou du ministère, ni laisser entendre que l’État recommande ses offres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adopter, notamment en ligne, une communication professionnelle et respectueuse, à l’exclusion de tout propos injurieux, discriminatoire ou diffamatoire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ne pas diffuser d’informations trompeuses sur l’IA ou sur les dispositifs publics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obtenir l’accord des entreprises et des personnes avant de citer leur nom, leurs résultats ou leur image.</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8.3 Confidentialité</w:t>
      </w:r>
    </w:p>
    <w:p>
      <w:pPr>
        <w:spacing w:after="120" w:line="276" w:lineRule="auto"/>
        <w:jc w:val="both"/>
        <w:rPr>
          <w:rFonts w:ascii="Marianne" w:hAnsi="Marianne" w:cs="Marianne"/>
          <w:sz w:val="20"/>
          <w:szCs w:val="20"/>
        </w:rPr>
      </w:pPr>
      <w:r>
        <w:rPr>
          <w:rFonts w:ascii="Marianne" w:eastAsia="Marianne" w:hAnsi="Marianne" w:cs="Marianne"/>
          <w:sz w:val="20"/>
          <w:szCs w:val="20"/>
        </w:rPr>
        <w:t>Les échanges et documents internes au réseau (salons Tchap, espace Resana, réunions) ne peuvent être diffusés à l’extérieur sans accord de la DGE.</w:t>
      </w:r>
    </w:p>
    <w:p>
      <w:pPr>
        <w:keepNext/>
        <w:spacing w:before="200" w:after="80" w:line="276" w:lineRule="auto"/>
        <w:jc w:val="both"/>
        <w:rPr>
          <w:rFonts w:ascii="Marianne" w:hAnsi="Marianne" w:cs="Marianne"/>
          <w:sz w:val="20"/>
          <w:szCs w:val="20"/>
        </w:rPr>
      </w:pPr>
      <w:r>
        <w:rPr>
          <w:rFonts w:ascii="Marianne" w:eastAsia="Marianne" w:hAnsi="Marianne" w:cs="Marianne"/>
          <w:b/>
          <w:bCs/>
          <w:sz w:val="20"/>
          <w:szCs w:val="20"/>
        </w:rPr>
        <w:t>8.4 Légalité</w:t>
      </w:r>
    </w:p>
    <w:p>
      <w:pPr>
        <w:spacing w:after="120" w:line="276" w:lineRule="auto"/>
        <w:jc w:val="both"/>
        <w:rPr>
          <w:rFonts w:ascii="Marianne" w:hAnsi="Marianne" w:cs="Marianne"/>
          <w:sz w:val="20"/>
          <w:szCs w:val="20"/>
        </w:rPr>
      </w:pPr>
      <w:r>
        <w:rPr>
          <w:rFonts w:ascii="Marianne" w:eastAsia="Marianne" w:hAnsi="Marianne" w:cs="Marianne"/>
          <w:sz w:val="20"/>
          <w:szCs w:val="20"/>
        </w:rPr>
        <w:t>L’Ambassadeur IA respecte la réglementation applicable à son activité, notamment en matière de protection des données, d’IA et de pratiques commerciales (articles L. 121-1 et suivants du code de la consommation).</w:t>
      </w:r>
    </w:p>
    <w:p>
      <w:pPr>
        <w:keepNext/>
        <w:spacing w:before="360" w:after="160"/>
        <w:rPr>
          <w:rFonts w:ascii="Marianne" w:hAnsi="Marianne" w:cs="Marianne"/>
          <w:sz w:val="20"/>
          <w:szCs w:val="20"/>
        </w:rPr>
      </w:pPr>
      <w:r>
        <w:rPr>
          <w:rFonts w:ascii="Marianne" w:eastAsia="Marianne" w:hAnsi="Marianne" w:cs="Marianne"/>
          <w:b/>
          <w:bCs/>
          <w:sz w:val="20"/>
          <w:szCs w:val="20"/>
        </w:rPr>
        <w:t>Article 9 – Contreparties</w:t>
      </w:r>
    </w:p>
    <w:p>
      <w:pPr>
        <w:spacing w:after="120" w:line="276" w:lineRule="auto"/>
        <w:jc w:val="both"/>
        <w:rPr>
          <w:rFonts w:ascii="Marianne" w:hAnsi="Marianne" w:cs="Marianne"/>
          <w:sz w:val="20"/>
          <w:szCs w:val="20"/>
        </w:rPr>
      </w:pPr>
      <w:r>
        <w:rPr>
          <w:rFonts w:ascii="Marianne" w:eastAsia="Marianne" w:hAnsi="Marianne" w:cs="Marianne"/>
          <w:sz w:val="20"/>
          <w:szCs w:val="20"/>
        </w:rPr>
        <w:t>L’Ambassadeur IA bénéficie des contreparties suivantes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référencement sur la liste et la carte officielles des Ambassadeurs IA, avec ses domaines d’expertise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usage du titre, du logo et du kit de communication du plan (bannières, signature, modèle de présentation)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valorisation de ses actions dans la communication nationale du plan ;</w:t>
      </w:r>
    </w:p>
    <w:p>
      <w:pPr>
        <w:pStyle w:val="Paragraphedeliste"/>
        <w:numPr>
          <w:ilvl w:val="0"/>
          <w:numId w:val="4"/>
        </w:numPr>
        <w:spacing w:after="60" w:line="276" w:lineRule="auto"/>
        <w:jc w:val="both"/>
        <w:rPr>
          <w:rFonts w:ascii="Marianne" w:eastAsia="Marianne" w:hAnsi="Marianne" w:cs="Marianne"/>
          <w:sz w:val="20"/>
          <w:szCs w:val="20"/>
        </w:rPr>
      </w:pPr>
      <w:r>
        <w:rPr>
          <w:rFonts w:ascii="Marianne" w:eastAsia="Marianne" w:hAnsi="Marianne" w:cs="Marianne"/>
          <w:sz w:val="20"/>
          <w:szCs w:val="20"/>
        </w:rPr>
        <w:t>participation aux groupes de travail thématiques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accès à l’annuaire des Ambassadeurs par domaine d’expertise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ateliers entre pairs, rencontres territoriales et nationales, invitations aux événements du plan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information en continu sur les dispositifs du plan « Osez l’IA » et du volet « Impulsion IA 2027 », veille et ressources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lastRenderedPageBreak/>
        <w:t>échanges réguliers avec la DGE, les DREETS et les référents, notamment sur l’évolution du réseau.</w:t>
      </w:r>
    </w:p>
    <w:p>
      <w:pPr>
        <w:keepNext/>
        <w:spacing w:before="360" w:after="160"/>
        <w:rPr>
          <w:rFonts w:ascii="Marianne" w:hAnsi="Marianne" w:cs="Marianne"/>
          <w:sz w:val="20"/>
          <w:szCs w:val="20"/>
        </w:rPr>
      </w:pPr>
      <w:r>
        <w:rPr>
          <w:rFonts w:ascii="Marianne" w:eastAsia="Marianne" w:hAnsi="Marianne" w:cs="Marianne"/>
          <w:b/>
          <w:bCs/>
          <w:sz w:val="20"/>
          <w:szCs w:val="20"/>
        </w:rPr>
        <w:t>Article 10 – Durée et renouvellement</w:t>
      </w:r>
    </w:p>
    <w:p>
      <w:pPr>
        <w:spacing w:after="120" w:line="276" w:lineRule="auto"/>
        <w:jc w:val="both"/>
        <w:rPr>
          <w:rFonts w:ascii="Marianne" w:hAnsi="Marianne" w:cs="Marianne"/>
          <w:sz w:val="20"/>
          <w:szCs w:val="20"/>
        </w:rPr>
      </w:pPr>
      <w:r>
        <w:rPr>
          <w:rFonts w:ascii="Marianne" w:eastAsia="Marianne" w:hAnsi="Marianne" w:cs="Marianne"/>
          <w:sz w:val="20"/>
          <w:szCs w:val="20"/>
        </w:rPr>
        <w:t xml:space="preserve">Le titre d’Ambassadeur IA est attribué pour une durée de </w:t>
      </w:r>
      <w:commentRangeStart w:id="0"/>
      <w:r>
        <w:rPr>
          <w:rFonts w:ascii="Marianne" w:eastAsia="Marianne" w:hAnsi="Marianne" w:cs="Marianne"/>
          <w:sz w:val="20"/>
          <w:szCs w:val="20"/>
        </w:rPr>
        <w:t>24 mois</w:t>
      </w:r>
      <w:commentRangeEnd w:id="0"/>
      <w:r>
        <w:commentReference w:id="0"/>
      </w:r>
      <w:r>
        <w:rPr>
          <w:rFonts w:ascii="Marianne" w:eastAsia="Marianne" w:hAnsi="Marianne" w:cs="Marianne"/>
          <w:sz w:val="20"/>
          <w:szCs w:val="20"/>
        </w:rPr>
        <w:t>. Son renouvellement n’est pas tacite.</w:t>
      </w:r>
    </w:p>
    <w:p>
      <w:pPr>
        <w:spacing w:after="120" w:line="276" w:lineRule="auto"/>
        <w:jc w:val="both"/>
        <w:rPr>
          <w:rFonts w:ascii="Marianne" w:hAnsi="Marianne" w:cs="Marianne"/>
          <w:sz w:val="20"/>
          <w:szCs w:val="20"/>
        </w:rPr>
      </w:pPr>
      <w:r>
        <w:rPr>
          <w:rFonts w:ascii="Marianne" w:eastAsia="Marianne" w:hAnsi="Marianne" w:cs="Marianne"/>
          <w:sz w:val="20"/>
          <w:szCs w:val="20"/>
        </w:rPr>
        <w:t>À l’issue de cette période, la DGE statue sur le renouvellement au regard de l’activité déclarée, du respect des engagements et des règles de conduite de la présente charte, de la participation à la vie du réseau et des critères de l’article 5. Le renouvellement est subordonné à l’acceptation de la charte en vigueur.</w:t>
      </w:r>
    </w:p>
    <w:p>
      <w:pPr>
        <w:spacing w:after="120" w:line="276" w:lineRule="auto"/>
        <w:jc w:val="both"/>
        <w:rPr>
          <w:rFonts w:ascii="Marianne" w:hAnsi="Marianne" w:cs="Marianne"/>
          <w:sz w:val="20"/>
          <w:szCs w:val="20"/>
        </w:rPr>
      </w:pPr>
      <w:r>
        <w:rPr>
          <w:rFonts w:ascii="Marianne" w:eastAsia="Marianne" w:hAnsi="Marianne" w:cs="Marianne"/>
          <w:sz w:val="20"/>
          <w:szCs w:val="20"/>
        </w:rPr>
        <w:t>L’Ambassadeur IA peut renoncer à son titre à tout moment, par simple notification à la DGE et à son référent.</w:t>
      </w:r>
    </w:p>
    <w:p>
      <w:pPr>
        <w:keepNext/>
        <w:spacing w:before="360" w:after="160"/>
        <w:rPr>
          <w:rFonts w:ascii="Marianne" w:hAnsi="Marianne" w:cs="Marianne"/>
          <w:sz w:val="20"/>
          <w:szCs w:val="20"/>
        </w:rPr>
      </w:pPr>
      <w:r>
        <w:rPr>
          <w:rFonts w:ascii="Marianne" w:eastAsia="Marianne" w:hAnsi="Marianne" w:cs="Marianne"/>
          <w:b/>
          <w:bCs/>
          <w:sz w:val="20"/>
          <w:szCs w:val="20"/>
        </w:rPr>
        <w:t>Article 11 – Manquements et retrait du titre</w:t>
      </w:r>
    </w:p>
    <w:p>
      <w:pPr>
        <w:spacing w:after="120" w:line="276" w:lineRule="auto"/>
        <w:jc w:val="both"/>
        <w:rPr>
          <w:rFonts w:ascii="Marianne" w:hAnsi="Marianne" w:cs="Marianne"/>
          <w:sz w:val="20"/>
          <w:szCs w:val="20"/>
        </w:rPr>
      </w:pPr>
      <w:r>
        <w:rPr>
          <w:rFonts w:ascii="Marianne" w:eastAsia="Marianne" w:hAnsi="Marianne" w:cs="Marianne"/>
          <w:sz w:val="20"/>
          <w:szCs w:val="20"/>
        </w:rPr>
        <w:t>Le titre d’Ambassadeur IA peut être retiré, notamment dans les cas suivants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communication ou comportement inapproprié associé au titre, en ligne ou hors ligne, ou de nature à porter atteinte à l’image du plan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diffusion d’informations trompeuses sur l’IA ou sur les dispositifs publics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expression au nom de l’État ou usage du titre ou du logo contraire au règlement d’usage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utilisation du titre à des fins de prospection ou de promotion commerciale, ou conflit d’intérêts non déclaré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diffusion à l’extérieur d’échanges ou de documents internes au réseau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comportement irrespectueux envers les entreprises, les autres Ambassadeurs ou les services de l’État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inactivité constatée sur la période : absence d’action déclarée et de réponse aux sollicitations ;</w:t>
      </w:r>
    </w:p>
    <w:p>
      <w:pPr>
        <w:pStyle w:val="Paragraphedeliste"/>
        <w:numPr>
          <w:ilvl w:val="0"/>
          <w:numId w:val="4"/>
        </w:numPr>
        <w:spacing w:after="60" w:line="276" w:lineRule="auto"/>
        <w:jc w:val="both"/>
        <w:rPr>
          <w:rFonts w:ascii="Marianne" w:hAnsi="Marianne" w:cs="Marianne"/>
          <w:sz w:val="20"/>
          <w:szCs w:val="20"/>
        </w:rPr>
      </w:pPr>
      <w:r>
        <w:rPr>
          <w:rFonts w:ascii="Marianne" w:eastAsia="Marianne" w:hAnsi="Marianne" w:cs="Marianne"/>
          <w:sz w:val="20"/>
          <w:szCs w:val="20"/>
        </w:rPr>
        <w:t>manquement à la réglementation, notamment en matière de protection des données, d’IA ou de pratiques commerciales, ou tout acte illicite.</w:t>
      </w:r>
    </w:p>
    <w:p>
      <w:pPr>
        <w:spacing w:before="120" w:after="120" w:line="276" w:lineRule="auto"/>
        <w:jc w:val="both"/>
        <w:rPr>
          <w:rFonts w:ascii="Marianne" w:hAnsi="Marianne" w:cs="Marianne"/>
          <w:sz w:val="20"/>
          <w:szCs w:val="20"/>
        </w:rPr>
      </w:pPr>
      <w:r>
        <w:rPr>
          <w:rFonts w:ascii="Marianne" w:eastAsia="Marianne" w:hAnsi="Marianne" w:cs="Marianne"/>
          <w:b/>
          <w:bCs/>
          <w:sz w:val="20"/>
          <w:szCs w:val="20"/>
        </w:rPr>
        <w:t>Procédure.</w:t>
      </w:r>
      <w:r>
        <w:rPr>
          <w:rFonts w:ascii="Marianne" w:eastAsia="Marianne" w:hAnsi="Marianne" w:cs="Marianne"/>
          <w:sz w:val="20"/>
          <w:szCs w:val="20"/>
        </w:rPr>
        <w:t xml:space="preserve"> Sauf manquement grave, le retrait intervient au terme d’une procédure graduée : rappel à la charte par le référent, puis avertissement écrit, puis décision de la DGE après avis du référent. Avant toute décision de retrait, l’Ambassadeur est informé des faits reprochés et peut présenter ses observations dans un délai de quinze jours.</w:t>
      </w:r>
    </w:p>
    <w:p>
      <w:pPr>
        <w:spacing w:after="120" w:line="276" w:lineRule="auto"/>
        <w:jc w:val="both"/>
        <w:rPr>
          <w:rFonts w:ascii="Marianne" w:hAnsi="Marianne" w:cs="Marianne"/>
          <w:sz w:val="20"/>
          <w:szCs w:val="20"/>
        </w:rPr>
      </w:pPr>
      <w:r>
        <w:rPr>
          <w:rFonts w:ascii="Marianne" w:eastAsia="Marianne" w:hAnsi="Marianne" w:cs="Marianne"/>
          <w:sz w:val="20"/>
          <w:szCs w:val="20"/>
        </w:rPr>
        <w:t>En cas de manquement grave, notamment de propos illicites ou d’usage frauduleux du titre, la DGE peut suspendre le titre sans délai, dans l’attente de la décision définitive.</w:t>
      </w:r>
    </w:p>
    <w:p>
      <w:pPr>
        <w:spacing w:after="120" w:line="276" w:lineRule="auto"/>
        <w:jc w:val="both"/>
        <w:rPr>
          <w:rFonts w:ascii="Marianne" w:hAnsi="Marianne" w:cs="Marianne"/>
          <w:sz w:val="20"/>
          <w:szCs w:val="20"/>
        </w:rPr>
      </w:pPr>
      <w:r>
        <w:rPr>
          <w:rFonts w:ascii="Marianne" w:eastAsia="Marianne" w:hAnsi="Marianne" w:cs="Marianne"/>
          <w:sz w:val="20"/>
          <w:szCs w:val="20"/>
        </w:rPr>
        <w:lastRenderedPageBreak/>
        <w:t>Le retrait entraîne la cessation immédiate de l’usage du titre et du logo, le retrait des listes publiques et la sortie des outils du réseau.</w:t>
      </w:r>
    </w:p>
    <w:p>
      <w:pPr>
        <w:keepNext/>
        <w:spacing w:before="360" w:after="160"/>
        <w:rPr>
          <w:rFonts w:ascii="Marianne" w:hAnsi="Marianne" w:cs="Marianne"/>
          <w:sz w:val="20"/>
          <w:szCs w:val="20"/>
        </w:rPr>
      </w:pPr>
      <w:r>
        <w:rPr>
          <w:rFonts w:ascii="Marianne" w:eastAsia="Marianne" w:hAnsi="Marianne" w:cs="Marianne"/>
          <w:b/>
          <w:bCs/>
          <w:sz w:val="20"/>
          <w:szCs w:val="20"/>
        </w:rPr>
        <w:t>Article 12 – Modification de la charte</w:t>
      </w:r>
    </w:p>
    <w:p>
      <w:pPr>
        <w:spacing w:after="120" w:line="276" w:lineRule="auto"/>
        <w:jc w:val="both"/>
        <w:rPr>
          <w:rFonts w:ascii="Marianne" w:hAnsi="Marianne" w:cs="Marianne"/>
          <w:sz w:val="20"/>
          <w:szCs w:val="20"/>
        </w:rPr>
      </w:pPr>
      <w:r>
        <w:rPr>
          <w:rFonts w:ascii="Marianne" w:eastAsia="Marianne" w:hAnsi="Marianne" w:cs="Marianne"/>
          <w:sz w:val="20"/>
          <w:szCs w:val="20"/>
        </w:rPr>
        <w:t xml:space="preserve">La présente charte peut évoluer. Toute nouvelle version </w:t>
      </w:r>
      <w:proofErr w:type="spellStart"/>
      <w:r>
        <w:rPr>
          <w:rFonts w:ascii="Marianne" w:eastAsia="Marianne" w:hAnsi="Marianne" w:cs="Marianne"/>
          <w:sz w:val="20"/>
          <w:szCs w:val="20"/>
        </w:rPr>
        <w:t>sera</w:t>
      </w:r>
      <w:proofErr w:type="spellEnd"/>
      <w:r>
        <w:rPr>
          <w:rFonts w:ascii="Marianne" w:eastAsia="Marianne" w:hAnsi="Marianne" w:cs="Marianne"/>
          <w:sz w:val="20"/>
          <w:szCs w:val="20"/>
        </w:rPr>
        <w:t xml:space="preserve"> soumise à l’Ambassadeur IA pour signature lors du renouvellement de son titre.</w:t>
      </w:r>
    </w:p>
    <w:p>
      <w:pPr>
        <w:keepNext/>
        <w:spacing w:before="360" w:after="160"/>
        <w:rPr>
          <w:rFonts w:ascii="Marianne" w:hAnsi="Marianne" w:cs="Marianne"/>
          <w:sz w:val="20"/>
          <w:szCs w:val="20"/>
        </w:rPr>
      </w:pPr>
      <w:r>
        <w:rPr>
          <w:rFonts w:ascii="Marianne" w:eastAsia="Marianne" w:hAnsi="Marianne" w:cs="Marianne"/>
          <w:b/>
          <w:bCs/>
          <w:sz w:val="20"/>
          <w:szCs w:val="20"/>
        </w:rPr>
        <w:t>Article 13 – Données personnelles</w:t>
      </w:r>
    </w:p>
    <w:p>
      <w:pPr>
        <w:spacing w:after="120" w:line="276" w:lineRule="auto"/>
        <w:jc w:val="both"/>
        <w:rPr>
          <w:rFonts w:ascii="Marianne" w:hAnsi="Marianne" w:cs="Marianne"/>
          <w:sz w:val="20"/>
          <w:szCs w:val="20"/>
        </w:rPr>
      </w:pPr>
      <w:r>
        <w:rPr>
          <w:rFonts w:ascii="Marianne" w:eastAsia="Marianne" w:hAnsi="Marianne" w:cs="Marianne"/>
          <w:sz w:val="20"/>
          <w:szCs w:val="20"/>
        </w:rPr>
        <w:t>La DGE traite des données personnelles relatives aux candidats et aux Ambassadeurs IA pour la gestion du réseau, la publication de la liste et de la carte des Ambassadeurs, le suivi de leur activité et la communication du plan. Ces traitements reposent sur l’exécution d’une mission d’intérêt public.</w:t>
      </w:r>
    </w:p>
    <w:p>
      <w:pPr>
        <w:spacing w:after="120" w:line="276" w:lineRule="auto"/>
        <w:jc w:val="both"/>
        <w:rPr>
          <w:rFonts w:ascii="Marianne" w:hAnsi="Marianne" w:cs="Marianne"/>
          <w:sz w:val="20"/>
          <w:szCs w:val="20"/>
        </w:rPr>
      </w:pPr>
      <w:r>
        <w:rPr>
          <w:rFonts w:ascii="Marianne" w:eastAsia="Marianne" w:hAnsi="Marianne" w:cs="Marianne"/>
          <w:sz w:val="20"/>
          <w:szCs w:val="20"/>
        </w:rPr>
        <w:t xml:space="preserve">Les données nécessaires peuvent être partagées avec les DREETS et les référents sectoriels. Les informations professionnelles (nom, structure, coordonnées professionnelles dont l’adresse électronique, domaines d’expertise, territoire, secteur, site web et réseaux sociaux professionnels) sont publiées et rediffusées sous forme de données ouvertes sur le portail data.economie.gouv.fr, à l’adresse suivante : </w:t>
      </w:r>
      <w:hyperlink r:id="rIdAmbData1" w:history="1">
        <w:r>
          <w:rPr>
            <w:color w:val="0563C1"/>
            <w:u w:val="single"/>
            <w:rFonts w:ascii="Marianne" w:eastAsia="Marianne" w:hAnsi="Marianne" w:cs="Marianne"/>
            <w:sz w:val="20"/>
            <w:szCs w:val="20"/>
          </w:rPr>
          <w:t>https://data.economie.gouv.fr/explore/assets/ambassadeursia/</w:t>
        </w:r>
      </w:hyperlink>
      <w:r>
        <w:rPr>
          <w:rFonts w:ascii="Marianne" w:eastAsia="Marianne" w:hAnsi="Marianne" w:cs="Marianne"/>
          <w:sz w:val="20"/>
          <w:szCs w:val="20"/>
        </w:rPr>
        <w:t>.</w:t>
      </w:r>
    </w:p>
    <w:p>
      <w:pPr>
        <w:spacing w:after="120" w:line="276" w:lineRule="auto"/>
        <w:jc w:val="both"/>
        <w:rPr>
          <w:rFonts w:ascii="Marianne" w:hAnsi="Marianne" w:cs="Marianne"/>
          <w:sz w:val="20"/>
          <w:szCs w:val="20"/>
        </w:rPr>
      </w:pPr>
      <w:r>
        <w:rPr>
          <w:rFonts w:ascii="Marianne" w:eastAsia="Marianne" w:hAnsi="Marianne" w:cs="Marianne"/>
          <w:sz w:val="20"/>
          <w:szCs w:val="20"/>
        </w:rPr>
        <w:t>Le titre d’Ambassadeur IA ayant un caractère public, l’adresse électronique indiquée par l’Ambassadeur est accessible à tous sur ce portail. Elle pourra donc être utilisée par toute personne souhaitant le contacter, notamment les entreprises, la DGE, les DREETS, les référents et les autres acteurs du réseau, et recevoir des sollicitations de toute nature. L’Ambassadeur est libre de choisir l’adresse indiquée : il est recommandé de créer une adresse électronique dédiée à cette mission, distincte de ses adresses personnelles. En acceptant la présente charte, l’Ambassadeur reconnaît avoir été informé de cette publication.</w:t>
      </w:r>
    </w:p>
    <w:p>
      <w:pPr>
        <w:spacing w:after="120" w:line="276" w:lineRule="auto"/>
        <w:jc w:val="both"/>
        <w:rPr>
          <w:rFonts w:ascii="Marianne" w:hAnsi="Marianne" w:cs="Marianne"/>
          <w:sz w:val="20"/>
          <w:szCs w:val="20"/>
        </w:rPr>
      </w:pPr>
      <w:r>
        <w:rPr>
          <w:rFonts w:ascii="Marianne" w:eastAsia="Marianne" w:hAnsi="Marianne" w:cs="Marianne"/>
          <w:sz w:val="20"/>
          <w:szCs w:val="20"/>
        </w:rPr>
        <w:t>Dans le cadre de la sélection et du renouvellement, la DGE et les référents peuvent être amenés à consulter les informations rendues publiques par les candidats et les Ambassadeurs, notamment celles disponibles en ligne.</w:t>
      </w:r>
    </w:p>
    <w:p>
      <w:pPr>
        <w:spacing w:after="120" w:line="276" w:lineRule="auto"/>
        <w:jc w:val="both"/>
        <w:rPr>
          <w:rFonts w:ascii="Marianne" w:hAnsi="Marianne" w:cs="Marianne"/>
          <w:sz w:val="20"/>
          <w:szCs w:val="20"/>
        </w:rPr>
      </w:pPr>
      <w:r>
        <w:rPr>
          <w:rFonts w:ascii="Marianne" w:eastAsia="Marianne" w:hAnsi="Marianne" w:cs="Marianne"/>
          <w:sz w:val="20"/>
          <w:szCs w:val="20"/>
        </w:rPr>
        <w:t>Les informations relatives aux données traitées, aux durées de conservation et aux droits des personnes concernées figurent dans la politique de protection des données publiée sur le site de la DGE.</w:t>
      </w:r>
    </w:p>
    <w:p>
      <w:pPr>
        <w:spacing w:before="360"/>
        <w:jc w:val="center"/>
        <w:rPr>
          <w:rFonts w:ascii="Marianne" w:hAnsi="Marianne" w:cs="Marianne"/>
          <w:sz w:val="20"/>
          <w:szCs w:val="20"/>
        </w:rPr>
      </w:pPr>
      <w:r>
        <w:rPr>
          <w:rFonts w:ascii="Marianne" w:eastAsia="Marianne" w:hAnsi="Marianne" w:cs="Marianne"/>
          <w:sz w:val="20"/>
          <w:szCs w:val="20"/>
        </w:rPr>
        <w:t>*</w:t>
      </w:r>
    </w:p>
    <w:p>
      <w:pPr>
        <w:spacing w:after="480"/>
        <w:jc w:val="center"/>
        <w:rPr>
          <w:rFonts w:ascii="Marianne" w:hAnsi="Marianne" w:cs="Marianne"/>
          <w:sz w:val="20"/>
          <w:szCs w:val="20"/>
        </w:rPr>
      </w:pPr>
      <w:r>
        <w:rPr>
          <w:rFonts w:ascii="Marianne" w:eastAsia="Marianne" w:hAnsi="Marianne" w:cs="Marianne"/>
          <w:sz w:val="20"/>
          <w:szCs w:val="20"/>
        </w:rPr>
        <w:t>*       *</w:t>
      </w:r>
    </w:p>
    <w:p>
      <w:pPr>
        <w:spacing w:after="120" w:line="276" w:lineRule="auto"/>
        <w:jc w:val="both"/>
        <w:rPr>
          <w:rFonts w:ascii="Marianne" w:hAnsi="Marianne" w:cs="Marianne"/>
          <w:sz w:val="20"/>
          <w:szCs w:val="20"/>
        </w:rPr>
      </w:pPr>
      <w:r>
        <w:rPr>
          <w:rFonts w:ascii="Marianne" w:eastAsia="Marianne" w:hAnsi="Marianne" w:cs="Marianne"/>
          <w:sz w:val="20"/>
          <w:szCs w:val="20"/>
        </w:rPr>
        <w:t>Je soussigné(e), ………………………………………………, représentant la structure ………………………………………………, déclare avoir pris connaissance de la présente charte et m’engage à la respecter.</w:t>
      </w:r>
    </w:p>
    <w:p>
      <w:pPr>
        <w:spacing w:before="240" w:after="120" w:line="276" w:lineRule="auto"/>
        <w:jc w:val="right"/>
        <w:rPr>
          <w:rFonts w:ascii="Marianne" w:hAnsi="Marianne" w:cs="Marianne"/>
        </w:rPr>
      </w:pPr>
      <w:r>
        <w:rPr>
          <w:rFonts w:ascii="Marianne" w:eastAsia="Marianne" w:hAnsi="Marianne" w:cs="Marianne"/>
          <w:sz w:val="20"/>
          <w:szCs w:val="20"/>
        </w:rPr>
        <w:t>Date, nom et signatur</w:t>
      </w:r>
      <w:r>
        <w:rPr>
          <w:rFonts w:ascii="Marianne" w:eastAsia="Marianne" w:hAnsi="Marianne" w:cs="Marianne"/>
        </w:rPr>
        <w:t>e de l’Ambassadeur IA :</w:t>
      </w:r>
    </w:p>
    <w:sectPr>
      <w:headerReference w:type="default" r:id="rId8"/>
      <w:footerReference w:type="default" r:id="rId9"/>
      <w:headerReference w:type="first" r:id="rId10"/>
      <w:footerReference w:type="first" r:id="rId11"/>
      <w:pgSz w:w="11906" w:h="16838"/>
      <w:pgMar w:top="2400" w:right="1417" w:bottom="1417" w:left="1417" w:header="708" w:footer="708"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EXIS BACOT" w:date="2026-10-21T18:56:00Z" w:initials="AB">
    <w:p>
      <w:proofErr w:type="spellStart"/>
      <w:r>
        <w:rPr>
          <w:rFonts w:ascii="Arial" w:eastAsia="Arial" w:hAnsi="Arial" w:cs="Arial"/>
        </w:rPr>
        <w:t>why</w:t>
      </w:r>
      <w:proofErr w:type="spellEnd"/>
      <w:r>
        <w:rPr>
          <w:rFonts w:ascii="Arial" w:eastAsia="Arial" w:hAnsi="Arial" w:cs="Arial"/>
        </w:rPr>
        <w:t xml:space="preserve"> not, mais on a une raison particulière?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rianne">
    <w:panose1 w:val="02000000000000000000"/>
    <w:charset w:val="00"/>
    <w:family w:val="auto"/>
    <w:pitch w:val="variable"/>
    <w:sig w:usb0="0000000F"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Pieddepage"/>
      <w:jc w:val="right"/>
    </w:pPr>
    <w:r>
      <w:fldChar w:fldCharType="begin"/>
    </w:r>
    <w:r>
      <w:instrText>PAGE \* MERGEFORMAT</w:instrText>
    </w:r>
    <w:r>
      <w:fldChar w:fldCharType="separate"/>
    </w:r>
    <w:r>
      <w:t>9</w:t>
    </w:r>
    <w:r>
      <w:fldChar w:fldCharType="end"/>
    </w:r>
  </w:p>
  <w:p>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 w:id="1">
    <w:p>
      <w:pPr>
        <w:pStyle w:val="Notedebasdepage"/>
      </w:pPr>
      <w:r>
        <w:rPr>
          <w:rStyle w:val="Appelnotedebasdep"/>
        </w:rPr>
        <w:footnoteRef/>
      </w:r>
      <w:r>
        <w:t xml:space="preserve"> https://www.entreprises.gouv.fr/osez-lia </w:t>
      </w:r>
    </w:p>
  </w:footnote>
  <w:footnote w:id="2">
    <w:p>
      <w:pPr>
        <w:pStyle w:val="Notedebasdepage"/>
      </w:pPr>
      <w:r>
        <w:rPr>
          <w:rStyle w:val="Appelnotedebasdep"/>
        </w:rPr>
        <w:footnoteRef/>
      </w:r>
      <w:r>
        <w:t xml:space="preserve"> https://conseil.bpifrance.fr/accelerez-ia</w:t>
      </w:r>
    </w:p>
  </w:footnote>
  <w:footnote w:id="3">
    <w:p>
      <w:pPr>
        <w:pStyle w:val="Notedebasdepage"/>
      </w:pPr>
      <w:r>
        <w:rPr>
          <w:rStyle w:val="Appelnotedebasdep"/>
        </w:rPr>
        <w:footnoteRef/>
      </w:r>
      <w:r>
        <w:t xml:space="preserve"> https://cartographie.hub-franceia.fr/OsezIA</w:t>
      </w:r>
    </w:p>
  </w:footnote>
  <w:footnote w:id="4">
    <w:p>
      <w:pPr>
        <w:pStyle w:val="Notedebasdepage"/>
      </w:pPr>
      <w:r>
        <w:rPr>
          <w:rStyle w:val="Appelnotedebasdep"/>
        </w:rPr>
        <w:footnoteRef/>
      </w:r>
      <w:r>
        <w:t xml:space="preserve"> https://www.francenum.gouv.fr/</w:t>
      </w:r>
    </w:p>
  </w:footnote>
  <w:footnote w:id="5">
    <w:p>
      <w:pPr>
        <w:pStyle w:val="Notedebasdepage"/>
      </w:pPr>
      <w:r>
        <w:rPr>
          <w:rStyle w:val="Appelnotedebasdep"/>
        </w:rPr>
        <w:footnoteRef/>
      </w:r>
      <w:r>
        <w:t xml:space="preserve"> https://travail-emploi.gouv.fr/impulsion-ia-2027</w:t>
      </w:r>
    </w:p>
  </w:footnote>
  <w:footnote w:id="6">
    <w:p>
      <w:pPr>
        <w:pStyle w:val="Notedebasdepage"/>
        <w:pBdr>
          <w:top w:val="none" w:sz="4" w:space="0" w:color="000000"/>
          <w:left w:val="none" w:sz="4" w:space="0" w:color="000000"/>
          <w:bottom w:val="none" w:sz="4" w:space="0" w:color="000000"/>
          <w:right w:val="none" w:sz="4" w:space="0" w:color="000000"/>
        </w:pBdr>
      </w:pPr>
      <w:r>
        <w:rPr>
          <w:rStyle w:val="Appelnotedebasdep"/>
        </w:rPr>
        <w:footnoteRef/>
      </w:r>
      <w:r>
        <w:t xml:space="preserve"> Diags Data IA (</w:t>
      </w:r>
      <w:hyperlink r:id="rId1" w:tooltip="https://www.bpifrance.fr/catalogue-offres/diag-data-ia" w:history="1">
        <w:r>
          <w:t xml:space="preserve">https://www.bpifrance.fr/catalogue-offres/diag-data-ia) et Accélérateurs IA (https://www.bpifrance.fr/catalogue-offres/accelerateur-ia ) </w:t>
        </w:r>
      </w:hyperlink>
      <w:r>
        <w:t xml:space="preserve"> </w:t>
      </w:r>
    </w:p>
    <w:p>
      <w:pPr>
        <w:pStyle w:val="Notedebasdepage"/>
      </w:pPr>
    </w:p>
  </w:footnote>
  <w:footnote w:id="7">
    <w:p>
      <w:pPr>
        <w:pStyle w:val="Notedebasdepage"/>
      </w:pPr>
      <w:r>
        <w:rPr>
          <w:rStyle w:val="Appelnotedebasdep"/>
        </w:rPr>
        <w:footnoteRef/>
      </w:r>
      <w:r>
        <w:t xml:space="preserve"> </w:t>
      </w:r>
      <w:proofErr w:type="spellStart"/>
      <w:r>
        <w:t>Eureopean</w:t>
      </w:r>
      <w:proofErr w:type="spellEnd"/>
      <w:r>
        <w:t xml:space="preserve"> Digital Innovation Hubs (https://www.francenum.gouv.fr/aides-financieres/guides-et-conseils-financiers/faites-appel-un-pole-europeen-dinnovation-numerique )</w:t>
      </w:r>
    </w:p>
  </w:footnote>
  <w:footnote w:id="8">
    <w:p>
      <w:pPr>
        <w:pStyle w:val="Notedebasdepage"/>
      </w:pPr>
      <w:r>
        <w:rPr>
          <w:rStyle w:val="Appelnotedebasdep"/>
        </w:rPr>
        <w:footnoteRef/>
      </w:r>
      <w:r>
        <w:t xml:space="preserve"> https://dreets.gouv.fr/</w:t>
      </w:r>
    </w:p>
  </w:footnote>
  <w:footnote w:id="9">
    <w:p>
      <w:r>
        <w:rPr>
          <w:rStyle w:val="Appelnotedebasdep"/>
        </w:rPr>
        <w:footnoteRef/>
      </w:r>
      <w:r>
        <w:rPr>
          <w:sz w:val="18"/>
          <w:szCs w:val="18"/>
        </w:rPr>
        <w:t>https://openagenda.com/fr/ambassadeurs-ia</w:t>
      </w:r>
    </w:p>
  </w:footnote>
  <w:footnote w:id="10">
    <w:p>
      <w:pPr>
        <w:pStyle w:val="Notedebasdepage"/>
      </w:pPr>
      <w:r>
        <w:rPr>
          <w:rStyle w:val="Appelnotedebasdep"/>
        </w:rPr>
        <w:footnoteRef/>
      </w:r>
      <w:r>
        <w:t xml:space="preserve"> https://registre.entreprises.gouv.fr/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tabs>
        <w:tab w:val="right" w:pos="902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En-tte"/>
    </w:pPr>
    <w:r>
      <w:rPr>
        <w:noProof/>
      </w:rPr>
      <mc:AlternateContent>
        <mc:Choice Requires="wpg">
          <w:drawing>
            <wp:anchor distT="0" distB="0" distL="115200" distR="115200" simplePos="0" relativeHeight="12288" behindDoc="0" locked="0" layoutInCell="1" allowOverlap="1">
              <wp:simplePos x="0" y="0"/>
              <wp:positionH relativeFrom="column">
                <wp:posOffset>4764202</wp:posOffset>
              </wp:positionH>
              <wp:positionV relativeFrom="paragraph">
                <wp:posOffset>-171450</wp:posOffset>
              </wp:positionV>
              <wp:extent cx="996518" cy="993870"/>
              <wp:effectExtent l="0" t="0" r="0" b="0"/>
              <wp:wrapTight wrapText="bothSides">
                <wp:wrapPolygon edited="1">
                  <wp:start x="0" y="0"/>
                  <wp:lineTo x="21600" y="0"/>
                  <wp:lineTo x="21600" y="21600"/>
                  <wp:lineTo x="0" y="2160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23481" name="Image 1"/>
                      <pic:cNvPicPr>
                        <a:picLocks noChangeAspect="1"/>
                      </pic:cNvPicPr>
                    </pic:nvPicPr>
                    <pic:blipFill rotWithShape="1">
                      <a:blip r:embed="rId1"/>
                      <a:stretch/>
                    </pic:blipFill>
                    <pic:spPr bwMode="auto">
                      <a:xfrm>
                        <a:off x="0" y="0"/>
                        <a:ext cx="996516" cy="993868"/>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2288;o:allowoverlap:true;o:allowincell:true;mso-position-horizontal-relative:text;margin-left:375.13pt;mso-position-horizontal:absolute;mso-position-vertical-relative:text;margin-top:-13.50pt;mso-position-vertical:absolute;width:78.47pt;height:78.26pt;mso-wrap-distance-left:9.07pt;mso-wrap-distance-top:0.00pt;mso-wrap-distance-right:9.07pt;mso-wrap-distance-bottom:0.00pt;rotation:0;z-index:1;" wrapcoords="0 0 100000 0 100000 100000 0 100000" stroked="false">
              <w10:wrap type="tight"/>
              <v:imagedata r:id="rId2" o:title=""/>
              <o:lock v:ext="edit" rotation="t"/>
            </v:shape>
          </w:pict>
        </mc:Fallback>
      </mc:AlternateContent>
    </w:r>
    <w:r>
      <w:rPr>
        <w:noProof/>
      </w:rPr>
      <mc:AlternateContent>
        <mc:Choice Requires="wpg">
          <w:drawing>
            <wp:anchor distT="0" distB="0" distL="115200" distR="115200" simplePos="0" relativeHeight="14336" behindDoc="0" locked="0" layoutInCell="1" allowOverlap="1">
              <wp:simplePos x="0" y="0"/>
              <wp:positionH relativeFrom="column">
                <wp:posOffset>0</wp:posOffset>
              </wp:positionH>
              <wp:positionV relativeFrom="paragraph">
                <wp:posOffset>85055</wp:posOffset>
              </wp:positionV>
              <wp:extent cx="920455" cy="718315"/>
              <wp:effectExtent l="0" t="0" r="0" b="0"/>
              <wp:wrapTight wrapText="bothSides">
                <wp:wrapPolygon edited="1">
                  <wp:start x="0" y="0"/>
                  <wp:lineTo x="21600" y="0"/>
                  <wp:lineTo x="21600" y="21600"/>
                  <wp:lineTo x="0" y="21600"/>
                </wp:wrapPolygon>
              </wp:wrapTight>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72701" name="Image 4"/>
                      <pic:cNvPicPr>
                        <a:picLocks noChangeAspect="1"/>
                      </pic:cNvPicPr>
                    </pic:nvPicPr>
                    <pic:blipFill rotWithShape="1">
                      <a:blip r:embed="rId3"/>
                      <a:stretch/>
                    </pic:blipFill>
                    <pic:spPr bwMode="auto">
                      <a:xfrm>
                        <a:off x="0" y="0"/>
                        <a:ext cx="920453" cy="718314"/>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4336;o:allowoverlap:true;o:allowincell:true;mso-position-horizontal-relative:text;margin-left:0.00pt;mso-position-horizontal:absolute;mso-position-vertical-relative:text;margin-top:6.70pt;mso-position-vertical:absolute;width:72.48pt;height:56.56pt;mso-wrap-distance-left:9.07pt;mso-wrap-distance-top:0.00pt;mso-wrap-distance-right:9.07pt;mso-wrap-distance-bottom:0.00pt;rotation:0;z-index:1;" wrapcoords="0 0 100000 0 100000 100000 0 100000" stroked="false">
              <w10:wrap type="tight"/>
              <v:imagedata r:id="rId4" o:title=""/>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89A0"/>
    <w:multiLevelType w:val="multilevel"/>
    <w:tmpl w:val="ED66038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3420732B"/>
    <w:multiLevelType w:val="multilevel"/>
    <w:tmpl w:val="A06CD23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BA4229"/>
    <w:multiLevelType w:val="multilevel"/>
    <w:tmpl w:val="AB405FC4"/>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D0A57C3"/>
    <w:multiLevelType w:val="multilevel"/>
    <w:tmpl w:val="7A5CA9FC"/>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E0E2704"/>
    <w:multiLevelType w:val="multilevel"/>
    <w:tmpl w:val="DDA8F3E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1EAEF2-9FA1-4534-BC00-981E58CA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semiHidden/>
    <w:unhideWhenUsed/>
    <w:qFormat/>
    <w:pPr>
      <w:outlineLvl w:val="1"/>
    </w:pPr>
    <w:rPr>
      <w:color w:val="2E74B5"/>
      <w:sz w:val="26"/>
      <w:szCs w:val="26"/>
    </w:rPr>
  </w:style>
  <w:style w:type="paragraph" w:styleId="Titre3">
    <w:name w:val="heading 3"/>
    <w:link w:val="Titre3Car"/>
    <w:uiPriority w:val="9"/>
    <w:semiHidden/>
    <w:unhideWhenUsed/>
    <w:qFormat/>
    <w:pPr>
      <w:outlineLvl w:val="2"/>
    </w:pPr>
    <w:rPr>
      <w:color w:val="1F4D78"/>
      <w:sz w:val="24"/>
      <w:szCs w:val="24"/>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paragraph" w:styleId="Titre7">
    <w:name w:val="heading 7"/>
    <w:basedOn w:val="Normal"/>
    <w:next w:val="Normal"/>
    <w:link w:val="Titre7Car"/>
    <w:uiPriority w:val="9"/>
    <w:unhideWhenUsed/>
    <w:qFormat/>
    <w:pPr>
      <w:keepNext/>
      <w:keepLines/>
      <w:spacing w:before="4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F5496"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F5496"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F5496"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F5496" w:themeColor="accent1" w:themeShade="BF"/>
    </w:rPr>
  </w:style>
  <w:style w:type="character" w:customStyle="1" w:styleId="Titre5Car">
    <w:name w:val="Titre 5 Car"/>
    <w:basedOn w:val="Policepardfaut"/>
    <w:link w:val="Titre5"/>
    <w:uiPriority w:val="9"/>
    <w:rPr>
      <w:rFonts w:ascii="Arial" w:eastAsia="Arial" w:hAnsi="Arial" w:cs="Arial"/>
      <w:color w:val="2F5496"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Policepardfaut"/>
    <w:uiPriority w:val="99"/>
    <w:semiHidden/>
    <w:rPr>
      <w:sz w:val="20"/>
      <w:szCs w:val="20"/>
    </w:rPr>
  </w:style>
  <w:style w:type="character" w:customStyle="1" w:styleId="EndnoteTextChar">
    <w:name w:val="Endnote Text Char"/>
    <w:basedOn w:val="Policepardfaut"/>
    <w:uiPriority w:val="99"/>
    <w:semiHidden/>
    <w:rPr>
      <w:sz w:val="20"/>
      <w:szCs w:val="20"/>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pPr>
      <w:tabs>
        <w:tab w:val="center" w:pos="4536"/>
        <w:tab w:val="right" w:pos="9072"/>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AmbData1" Type="http://schemas.openxmlformats.org/officeDocument/2006/relationships/hyperlink" Target="https://data.economie.gouv.fr/explore/assets/ambassadeursia/"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bpifrance.fr/catalogue-offres/diag-data-ia"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 Id="rId4" Type="http://schemas.openxmlformats.org/officeDocument/2006/relationships/image" Target="media/image2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2590</Words>
  <Characters>14247</Characters>
  <Application>Microsoft Office Word</Application>
  <DocSecurity>0</DocSecurity>
  <Lines>118</Lines>
  <Paragraphs>33</Paragraphs>
  <ScaleCrop>false</ScaleCrop>
  <Company/>
  <LinksUpToDate>false</LinksUpToDate>
  <CharactersWithSpaces>16804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 Olesia</cp:lastModifiedBy>
  <cp:revision>2</cp:revision>
  <dcterms:created xsi:type="dcterms:W3CDTF">2026-10-26T10:30:00Z</dcterms:created>
  <dcterms:modified xsi:type="dcterms:W3CDTF">2026-10-26T10:30:00Z</dcterms:modified>
</cp:coreProperties>
</file>