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b/>
          <w:bCs/>
          <w:color w:val="00A88A"/>
          <w:sz w:val="20"/>
          <w:szCs w:val="20"/>
          <w:rFonts w:ascii="Calibri" w:cs="Calibri" w:eastAsia="Calibri" w:hAnsi="Calibri"/>
          <w:spacing w:val="60"/>
        </w:rPr>
        <w:t xml:space="preserve">АТ «ФАРМАК»</w:t>
      </w:r>
    </w:p>
    <w:p>
      <w:pPr>
        <w:pBdr>
          <w:bottom w:val="single" w:color="00A88A" w:sz="18"/>
        </w:pBdr>
        <w:spacing w:after="40"/>
      </w:pPr>
    </w:p>
    <w:p>
      <w:pPr>
        <w:spacing w:before="30"/>
      </w:pPr>
      <w:r>
        <w:rPr>
          <w:color w:val="5A6675"/>
          <w:sz w:val="18"/>
          <w:szCs w:val="18"/>
          <w:caps w:val="false"/>
          <w:rFonts w:ascii="Calibri" w:cs="Calibri" w:eastAsia="Calibri" w:hAnsi="Calibri"/>
        </w:rPr>
        <w:t xml:space="preserve">Business Process Management</w:t>
      </w:r>
    </w:p>
    <w:p>
      <w:pPr>
        <w:spacing w:before="1700" w:after="120"/>
      </w:pPr>
      <w:r>
        <w:rPr>
          <w:b/>
          <w:bCs/>
          <w:color w:val="5A6675"/>
          <w:sz w:val="22"/>
          <w:szCs w:val="22"/>
          <w:rFonts w:ascii="Calibri" w:cs="Calibri" w:eastAsia="Calibri" w:hAnsi="Calibri"/>
          <w:spacing w:val="40"/>
        </w:rPr>
        <w:t xml:space="preserve">FARMAK BPM — ПРОЦЕДУРА</w:t>
      </w:r>
    </w:p>
    <w:p>
      <w:pPr>
        <w:spacing w:after="200"/>
      </w:pPr>
      <w:r>
        <w:rPr>
          <w:b/>
          <w:bCs/>
          <w:color w:val="0C2C45"/>
          <w:sz w:val="54"/>
          <w:szCs w:val="54"/>
          <w:rFonts w:ascii="Georgia" w:cs="Georgia" w:eastAsia="Georgia" w:hAnsi="Georgia"/>
        </w:rPr>
        <w:t xml:space="preserve">Процес закупівель ТМЦ</w:t>
      </w:r>
    </w:p>
    <w:p>
      <w:r>
        <w:rPr>
          <w:color w:val="00A88A"/>
          <w:sz w:val="24"/>
          <w:szCs w:val="24"/>
          <w:rFonts w:ascii="Calibri" w:cs="Calibri" w:eastAsia="Calibri" w:hAnsi="Calibri"/>
        </w:rPr>
        <w:t xml:space="preserve">Процес заупівель</w:t>
      </w:r>
    </w:p>
    <w:p>
      <w:pPr>
        <w:spacing w:before="900" w:after="0"/>
      </w:pPr>
    </w:p>
    <w:tbl>
      <w:tblPr>
        <w:tblW w:type="pct" w:w="78%"/>
        <w:tblBorders>
          <w:top w:val="none"/>
          <w:left w:val="none"/>
          <w:bottom w:val="none"/>
          <w:right w:val="none"/>
          <w:insideH w:val="single" w:color="E1E8EF" w:sz="3"/>
          <w:insideV w:val="none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A6675"/>
                <w:sz w:val="16"/>
                <w:szCs w:val="16"/>
                <w:rFonts w:ascii="Calibri" w:cs="Calibri" w:eastAsia="Calibri" w:hAnsi="Calibri"/>
                <w:spacing w:val="30"/>
              </w:rPr>
              <w:t xml:space="preserve">ДОКУМЕНТ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0C2C45"/>
                <w:sz w:val="20"/>
                <w:szCs w:val="20"/>
                <w:rFonts w:ascii="Calibri" w:cs="Calibri" w:eastAsia="Calibri" w:hAnsi="Calibri"/>
              </w:rPr>
              <w:t xml:space="preserve">FARMAK BPM — ПРОЦЕДУРА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A6675"/>
                <w:sz w:val="16"/>
                <w:szCs w:val="16"/>
                <w:rFonts w:ascii="Calibri" w:cs="Calibri" w:eastAsia="Calibri" w:hAnsi="Calibri"/>
                <w:spacing w:val="30"/>
              </w:rPr>
              <w:t xml:space="preserve">ОРГАНІЗАЦІЯ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0C2C45"/>
                <w:sz w:val="20"/>
                <w:szCs w:val="20"/>
                <w:rFonts w:ascii="Calibri" w:cs="Calibri" w:eastAsia="Calibri" w:hAnsi="Calibri"/>
              </w:rPr>
              <w:t xml:space="preserve">АТ «Фармак»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A6675"/>
                <w:sz w:val="16"/>
                <w:szCs w:val="16"/>
                <w:rFonts w:ascii="Calibri" w:cs="Calibri" w:eastAsia="Calibri" w:hAnsi="Calibri"/>
                <w:spacing w:val="30"/>
              </w:rPr>
              <w:t xml:space="preserve">ВЕРСІЯ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0C2C45"/>
                <w:sz w:val="20"/>
                <w:szCs w:val="20"/>
                <w:rFonts w:ascii="Calibri" w:cs="Calibri" w:eastAsia="Calibri" w:hAnsi="Calibri"/>
              </w:rPr>
              <w:t xml:space="preserve">1.0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A6675"/>
                <w:sz w:val="16"/>
                <w:szCs w:val="16"/>
                <w:rFonts w:ascii="Calibri" w:cs="Calibri" w:eastAsia="Calibri" w:hAnsi="Calibri"/>
                <w:spacing w:val="30"/>
              </w:rPr>
              <w:t xml:space="preserve">ГРИФ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0C2C45"/>
                <w:sz w:val="20"/>
                <w:szCs w:val="20"/>
                <w:rFonts w:ascii="Calibri" w:cs="Calibri" w:eastAsia="Calibri" w:hAnsi="Calibri"/>
              </w:rPr>
              <w:t xml:space="preserve">Комерційна таємниця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A6675"/>
                <w:sz w:val="16"/>
                <w:szCs w:val="16"/>
                <w:rFonts w:ascii="Calibri" w:cs="Calibri" w:eastAsia="Calibri" w:hAnsi="Calibri"/>
                <w:spacing w:val="30"/>
              </w:rPr>
              <w:t xml:space="preserve">ДАТА ФОРМУВАННЯ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0C2C45"/>
                <w:sz w:val="20"/>
                <w:szCs w:val="20"/>
                <w:rFonts w:ascii="Calibri" w:cs="Calibri" w:eastAsia="Calibri" w:hAnsi="Calibri"/>
              </w:rPr>
              <w:t xml:space="preserve">04 червня 2026 р.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A6675"/>
                <w:sz w:val="16"/>
                <w:szCs w:val="16"/>
                <w:rFonts w:ascii="Calibri" w:cs="Calibri" w:eastAsia="Calibri" w:hAnsi="Calibri"/>
                <w:spacing w:val="30"/>
              </w:rPr>
              <w:t xml:space="preserve">ЗГЕНЕРОВАНО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color w:val="0C2C45"/>
                <w:sz w:val="20"/>
                <w:szCs w:val="20"/>
                <w:rFonts w:ascii="Calibri" w:cs="Calibri" w:eastAsia="Calibri" w:hAnsi="Calibri"/>
              </w:rPr>
              <w:t xml:space="preserve">ProcessAI  ·  GPT-5.1</w:t>
            </w:r>
          </w:p>
        </w:tc>
      </w:tr>
    </w:tbl>
    <w:p>
      <w:pPr>
        <w:spacing w:before="600"/>
      </w:pPr>
      <w:r>
        <w:rPr>
          <w:b/>
          <w:bCs/>
          <w:color w:val="C0392B"/>
          <w:sz w:val="16"/>
          <w:szCs w:val="16"/>
          <w:rFonts w:ascii="Calibri" w:cs="Calibri" w:eastAsia="Calibri" w:hAnsi="Calibri"/>
          <w:spacing w:val="40"/>
        </w:rPr>
        <w:t xml:space="preserve">⚑ КОМЕРЦІЙНА ТАЄМНИЦЯ</w:t>
      </w:r>
    </w:p>
    <w:p>
      <w:r>
        <w:br w:type="page"/>
      </w:r>
    </w:p>
    <w:p>
      <w:pPr>
        <w:sectPr>
          <w:pgSz w:w="11906" w:h="16838" w:orient="portrait"/>
          <w:pgMar w:top="1500" w:right="1300" w:bottom="1300" w:left="1300" w:header="708" w:footer="708" w:gutter="0"/>
          <w:pgNumType/>
          <w:docGrid w:linePitch="360"/>
        </w:sectPr>
      </w:pPr>
    </w:p>
    <w:p>
      <w:pPr>
        <w:pBdr>
          <w:bottom w:val="single" w:color="00A88A" w:sz="14"/>
        </w:pBdr>
        <w:spacing w:after="140"/>
      </w:pPr>
      <w:r>
        <w:rPr>
          <w:b/>
          <w:bCs/>
          <w:color w:val="0C2C45"/>
          <w:sz w:val="30"/>
          <w:szCs w:val="30"/>
          <w:rFonts w:ascii="Calibri" w:cs="Calibri" w:eastAsia="Calibri" w:hAnsi="Calibri"/>
        </w:rPr>
        <w:t xml:space="preserve">ЗМІСТ</w:t>
      </w:r>
    </w:p>
    <w:p>
      <w:pPr>
        <w:spacing w:before="60"/>
      </w:pP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D7DEE6" w:sz="4"/>
        </w:pBdr>
        <w:spacing w:before="60" w:after="60"/>
      </w:pPr>
    </w:p>
    <w:p>
      <w:pPr>
        <w:pStyle w:val="Heading2"/>
        <w:spacing w:before="300" w:after="90"/>
      </w:pPr>
      <w:r>
        <w:rPr>
          <w:b/>
          <w:bCs/>
          <w:color w:val="00A88A"/>
          <w:sz w:val="26"/>
          <w:szCs w:val="26"/>
          <w:rFonts w:ascii="Calibri" w:cs="Calibri" w:eastAsia="Calibri" w:hAnsi="Calibri"/>
        </w:rPr>
        <w:t xml:space="preserve">1. ПАСПОРТ ПРОЦЕДУРИ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Ланцюг бізнес-процесів: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назва та код BPM]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Ціль бізнес-процесу: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  <w:r>
        <w:rPr>
          <w:b w:val="false"/>
          <w:bCs w:val="false"/>
          <w:i/>
          <w:iCs/>
          <w:color w:val="8A6D00"/>
          <w:sz w:val="21"/>
          <w:szCs w:val="21"/>
          <w:rFonts w:ascii="Calibri" w:cs="Calibri" w:eastAsia="Calibri" w:hAnsi="Calibri"/>
          <w:highlight w:val="yellow"/>
          <w:highlightCs w:val="yellow"/>
        </w:rPr>
        <w:t xml:space="preserve">⚠ потребує уточнення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Результат бізнес-процесу: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  <w:r>
        <w:rPr>
          <w:b w:val="false"/>
          <w:bCs w:val="false"/>
          <w:i/>
          <w:iCs/>
          <w:color w:val="8A6D00"/>
          <w:sz w:val="21"/>
          <w:szCs w:val="21"/>
          <w:rFonts w:ascii="Calibri" w:cs="Calibri" w:eastAsia="Calibri" w:hAnsi="Calibri"/>
          <w:highlight w:val="yellow"/>
          <w:highlightCs w:val="yellow"/>
        </w:rPr>
        <w:t xml:space="preserve">⚠ потребує уточнення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Підпроцеси: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перелік підпроцесів з кодами]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Вхід: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форми, документи, події що запускають процес]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Вихід: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до яких процесів передається результат]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Власник ланцюга: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посада]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Власник процедури: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посада та підрозділ]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Цільова аудиторія: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перелік підрозділів]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Гриф конфіденційності: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Конфіденційно </w:t>
      </w:r>
    </w:p>
    <w:p>
      <w:pPr>
        <w:spacing w:after="10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Версія: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1.0 </w:t>
      </w:r>
    </w:p>
    <w:p>
      <w:pPr>
        <w:pBdr>
          <w:bottom w:val="single" w:color="D7DEE6" w:sz="4"/>
        </w:pBdr>
        <w:spacing w:before="60" w:after="60"/>
      </w:pPr>
    </w:p>
    <w:p>
      <w:pPr>
        <w:pStyle w:val="Heading2"/>
        <w:spacing w:before="300" w:after="90"/>
      </w:pPr>
      <w:r>
        <w:rPr>
          <w:b/>
          <w:bCs/>
          <w:color w:val="00A88A"/>
          <w:sz w:val="26"/>
          <w:szCs w:val="26"/>
          <w:rFonts w:ascii="Calibri" w:cs="Calibri" w:eastAsia="Calibri" w:hAnsi="Calibri"/>
        </w:rPr>
        <w:t xml:space="preserve">2. ТЕРМІНИ ТА ВИЗНАЧЕННЯ</w:t>
      </w:r>
    </w:p>
    <w:tbl>
      <w:tblPr>
        <w:tblW w:type="pct" w:w="100%"/>
        <w:tblBorders>
          <w:top w:val="single" w:color="C9D4DF" w:sz="3"/>
          <w:left w:val="single" w:color="C9D4DF" w:sz="3"/>
          <w:bottom w:val="single" w:color="C9D4DF" w:sz="3"/>
          <w:right w:val="single" w:color="C9D4DF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 w:val="[object HTMLTableCellElement]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Термін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Визначення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ТМЦ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матеріали, сировина, комплектуючі та інші товарно-матеріальні цінності, що закуповуються для потреб АТ «Фармак»]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Процес закупівель ТМЦ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сукупність дій щодо планування, ініціювання, проведення та завершення закупівель ТМЦ]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</w:tbl>
    <w:p>
      <w:pPr>
        <w:spacing w:after="80"/>
      </w:pPr>
    </w:p>
    <w:p>
      <w:pPr>
        <w:pBdr>
          <w:bottom w:val="single" w:color="D7DEE6" w:sz="4"/>
        </w:pBdr>
        <w:spacing w:before="60" w:after="60"/>
      </w:pPr>
    </w:p>
    <w:p>
      <w:pPr>
        <w:pStyle w:val="Heading2"/>
        <w:spacing w:before="300" w:after="90"/>
      </w:pPr>
      <w:r>
        <w:rPr>
          <w:b/>
          <w:bCs/>
          <w:color w:val="00A88A"/>
          <w:sz w:val="26"/>
          <w:szCs w:val="26"/>
          <w:rFonts w:ascii="Calibri" w:cs="Calibri" w:eastAsia="Calibri" w:hAnsi="Calibri"/>
        </w:rPr>
        <w:t xml:space="preserve">3. ЗАГАЛЬНІ ПОЛОЖЕННЯ</w:t>
      </w:r>
    </w:p>
    <w:p>
      <w:pPr>
        <w:pStyle w:val="Heading3"/>
        <w:spacing w:before="160" w:after="50"/>
      </w:pPr>
      <w:r>
        <w:rPr>
          <w:b/>
          <w:bCs/>
          <w:color w:val="0C2C45"/>
          <w:sz w:val="22"/>
          <w:szCs w:val="22"/>
          <w:rFonts w:ascii="Calibri" w:cs="Calibri" w:eastAsia="Calibri" w:hAnsi="Calibri"/>
        </w:rPr>
        <w:t xml:space="preserve">Підстави для ініціації: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службова записка/заявка на закупівлю ТМЦ від ініціатора]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затверджений бюджет / план закупівель]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інші підстави (договірні зобов’язання, аварійні ситуації, тощо)]</w:t>
      </w:r>
    </w:p>
    <w:p>
      <w:pPr>
        <w:pStyle w:val="Heading3"/>
        <w:spacing w:before="160" w:after="50"/>
      </w:pPr>
      <w:r>
        <w:rPr>
          <w:b/>
          <w:bCs/>
          <w:color w:val="0C2C45"/>
          <w:sz w:val="22"/>
          <w:szCs w:val="22"/>
          <w:rFonts w:ascii="Calibri" w:cs="Calibri" w:eastAsia="Calibri" w:hAnsi="Calibri"/>
        </w:rPr>
        <w:t xml:space="preserve">Загальні вимоги до виконання: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b/>
          <w:bCs/>
          <w:i w:val="false"/>
          <w:iCs w:val="false"/>
          <w:color w:val="00A88A"/>
          <w:sz w:val="21"/>
          <w:szCs w:val="21"/>
          <w:rFonts w:ascii="Calibri" w:cs="Calibri" w:eastAsia="Calibri" w:hAnsi="Calibri"/>
        </w:rPr>
        <w:t xml:space="preserve">1.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дотримання внутрішніх політик та процедур АТ «Фармак» у сфері закупівель.]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b/>
          <w:bCs/>
          <w:i w:val="false"/>
          <w:iCs w:val="false"/>
          <w:color w:val="00A88A"/>
          <w:sz w:val="21"/>
          <w:szCs w:val="21"/>
          <w:rFonts w:ascii="Calibri" w:cs="Calibri" w:eastAsia="Calibri" w:hAnsi="Calibri"/>
        </w:rPr>
        <w:t xml:space="preserve">2.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забезпечення прозорості та простежуваності всіх етапів процесу закупівель.]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b/>
          <w:bCs/>
          <w:i w:val="false"/>
          <w:iCs w:val="false"/>
          <w:color w:val="00A88A"/>
          <w:sz w:val="21"/>
          <w:szCs w:val="21"/>
          <w:rFonts w:ascii="Calibri" w:cs="Calibri" w:eastAsia="Calibri" w:hAnsi="Calibri"/>
        </w:rPr>
        <w:t xml:space="preserve">3.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використання встановлених шаблонів документів та IT-систем.]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b/>
          <w:bCs/>
          <w:i w:val="false"/>
          <w:iCs w:val="false"/>
          <w:color w:val="00A88A"/>
          <w:sz w:val="21"/>
          <w:szCs w:val="21"/>
          <w:rFonts w:ascii="Calibri" w:cs="Calibri" w:eastAsia="Calibri" w:hAnsi="Calibri"/>
        </w:rPr>
        <w:t xml:space="preserve">4.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дотримання термінів виконання ключових етапів.]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b/>
          <w:bCs/>
          <w:i w:val="false"/>
          <w:iCs w:val="false"/>
          <w:color w:val="00A88A"/>
          <w:sz w:val="21"/>
          <w:szCs w:val="21"/>
          <w:rFonts w:ascii="Calibri" w:cs="Calibri" w:eastAsia="Calibri" w:hAnsi="Calibri"/>
        </w:rPr>
        <w:t xml:space="preserve">5.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забезпечення відповідності законодавчим вимогам.]</w:t>
      </w:r>
    </w:p>
    <w:p>
      <w:pPr>
        <w:pBdr>
          <w:bottom w:val="single" w:color="D7DEE6" w:sz="4"/>
        </w:pBdr>
        <w:spacing w:before="60" w:after="60"/>
      </w:pPr>
    </w:p>
    <w:p>
      <w:pPr>
        <w:pStyle w:val="Heading2"/>
        <w:spacing w:before="300" w:after="90"/>
      </w:pPr>
      <w:r>
        <w:rPr>
          <w:b/>
          <w:bCs/>
          <w:color w:val="00A88A"/>
          <w:sz w:val="26"/>
          <w:szCs w:val="26"/>
          <w:rFonts w:ascii="Calibri" w:cs="Calibri" w:eastAsia="Calibri" w:hAnsi="Calibri"/>
        </w:rPr>
        <w:t xml:space="preserve">4. РОЛІ ТА ПОСАДИ БІЗНЕС-ПРОЦЕСУ</w:t>
      </w:r>
    </w:p>
    <w:tbl>
      <w:tblPr>
        <w:tblW w:type="pct" w:w="100%"/>
        <w:tblBorders>
          <w:top w:val="single" w:color="C9D4DF" w:sz="3"/>
          <w:left w:val="single" w:color="C9D4DF" w:sz="3"/>
          <w:bottom w:val="single" w:color="C9D4DF" w:sz="3"/>
          <w:right w:val="single" w:color="C9D4DF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 w:val="[object HTMLTableCellElement]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№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Роль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Посада виконавця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Ініціатор закупівлі]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Фахівець із закупівель]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Керівник підрозділу-ініціатора]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Керівник департаменту закупівель / логістики]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Фінансовий контролер / бюджетний контролер]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6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Юрисконсульт]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7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Представник служби безпеки / комплаєнс]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8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Склад / логістика]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9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Бухгалтерія]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rFonts w:ascii="Calibri" w:cs="Calibri" w:eastAsia="Calibri" w:hAnsi="Calibri"/>
              </w:rPr>
              <w:t xml:space="preserve">10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8"/>
                <w:szCs w:val="18"/>
                <w:rFonts w:ascii="Calibri" w:cs="Calibri" w:eastAsia="Calibri" w:hAnsi="Calibri"/>
              </w:rPr>
              <w:t xml:space="preserve">[потребує уточнення — Власник процесу]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8"/>
                <w:szCs w:val="18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</w:tbl>
    <w:p>
      <w:pPr>
        <w:spacing w:after="80"/>
      </w:pPr>
    </w:p>
    <w:p>
      <w:pPr>
        <w:pBdr>
          <w:bottom w:val="single" w:color="D7DEE6" w:sz="4"/>
        </w:pBdr>
        <w:spacing w:before="60" w:after="60"/>
      </w:pPr>
    </w:p>
    <w:p>
      <w:pPr>
        <w:pStyle w:val="Heading2"/>
        <w:spacing w:before="300" w:after="90"/>
      </w:pPr>
      <w:r>
        <w:rPr>
          <w:b/>
          <w:bCs/>
          <w:color w:val="00A88A"/>
          <w:sz w:val="26"/>
          <w:szCs w:val="26"/>
          <w:rFonts w:ascii="Calibri" w:cs="Calibri" w:eastAsia="Calibri" w:hAnsi="Calibri"/>
        </w:rPr>
        <w:t xml:space="preserve">5. МАТРИЦЯ ПОВНОВАЖЕНЬ (RACI)</w:t>
      </w:r>
    </w:p>
    <w:tbl>
      <w:tblPr>
        <w:tblW w:type="pct" w:w="100%"/>
        <w:tblBorders>
          <w:top w:val="single" w:color="C9D4DF" w:sz="3"/>
          <w:left w:val="single" w:color="C9D4DF" w:sz="3"/>
          <w:bottom w:val="single" w:color="C9D4DF" w:sz="3"/>
          <w:right w:val="single" w:color="C9D4DF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 w:val="[object HTMLTableCellElement]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№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Дія (крок)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Ініціатор закупівлі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Фахівець із закупівель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Керівник підрозділу-ініціатора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Керівник департаменту закупівель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Фінансовий контролер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Юрисконсульт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Склад / логістика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Бухгалтерія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Власник процесу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Формування та подання заявки на закупівлю ТМЦ]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Перевірка заявки та її погодження керівником підрозділу]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  <w:r>
              <w:rPr>
                <w:color w:val="5A6675"/>
                <w:sz w:val="15"/>
                <w:szCs w:val="15"/>
                <w:rFonts w:ascii="Calibri" w:cs="Calibri" w:eastAsia="Calibri" w:hAnsi="Calibri"/>
              </w:rPr>
              <w:t xml:space="preserve">/</w:t>
            </w: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Перевірка відповідності бюджету]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  <w:r>
              <w:rPr>
                <w:color w:val="5A6675"/>
                <w:sz w:val="15"/>
                <w:szCs w:val="15"/>
                <w:rFonts w:ascii="Calibri" w:cs="Calibri" w:eastAsia="Calibri" w:hAnsi="Calibri"/>
              </w:rPr>
              <w:t xml:space="preserve">/</w:t>
            </w: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Проведення процедури вибору постачальника (запит пропозицій, тендер тощо)]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Погодження умов договору / замовлення]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Оформлення та направлення замовлення постачальнику]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  <w:r>
              <w:rPr>
                <w:color w:val="5A6675"/>
                <w:sz w:val="15"/>
                <w:szCs w:val="15"/>
                <w:rFonts w:ascii="Calibri" w:cs="Calibri" w:eastAsia="Calibri" w:hAnsi="Calibri"/>
              </w:rPr>
              <w:t xml:space="preserve">/</w:t>
            </w: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Приймання ТМЦ на складі]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  <w:r>
              <w:rPr>
                <w:color w:val="5A6675"/>
                <w:sz w:val="15"/>
                <w:szCs w:val="15"/>
                <w:rFonts w:ascii="Calibri" w:cs="Calibri" w:eastAsia="Calibri" w:hAnsi="Calibri"/>
              </w:rPr>
              <w:t xml:space="preserve">/</w:t>
            </w: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Перевірка документів постачальника та передача до бухгалтерії]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  <w:r>
              <w:rPr>
                <w:color w:val="5A6675"/>
                <w:sz w:val="15"/>
                <w:szCs w:val="15"/>
                <w:rFonts w:ascii="Calibri" w:cs="Calibri" w:eastAsia="Calibri" w:hAnsi="Calibri"/>
              </w:rPr>
              <w:t xml:space="preserve">/</w:t>
            </w: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Закриття заявки та архівація документів]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Моніторинг KPI процесу та ініціювання покращень]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B8860B"/>
                <w:sz w:val="15"/>
                <w:szCs w:val="15"/>
                <w:rFonts w:ascii="Calibri" w:cs="Calibri" w:eastAsia="Calibri" w:hAnsi="Calibri"/>
              </w:rPr>
              <w:t xml:space="preserve">C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I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C0392B"/>
                <w:sz w:val="15"/>
                <w:szCs w:val="15"/>
                <w:rFonts w:ascii="Calibri" w:cs="Calibri" w:eastAsia="Calibri" w:hAnsi="Calibri"/>
              </w:rPr>
              <w:t xml:space="preserve">A</w:t>
            </w:r>
            <w:r>
              <w:rPr>
                <w:color w:val="5A6675"/>
                <w:sz w:val="15"/>
                <w:szCs w:val="15"/>
                <w:rFonts w:ascii="Calibri" w:cs="Calibri" w:eastAsia="Calibri" w:hAnsi="Calibri"/>
              </w:rPr>
              <w:t xml:space="preserve">/</w:t>
            </w:r>
            <w:r>
              <w:rPr>
                <w:b/>
                <w:bCs/>
                <w:color w:val="1E8E3E"/>
                <w:sz w:val="15"/>
                <w:szCs w:val="15"/>
                <w:rFonts w:ascii="Calibri" w:cs="Calibri" w:eastAsia="Calibri" w:hAnsi="Calibri"/>
              </w:rPr>
              <w:t xml:space="preserve">R</w:t>
            </w:r>
          </w:p>
        </w:tc>
      </w:tr>
    </w:tbl>
    <w:p>
      <w:pPr>
        <w:spacing w:after="80"/>
      </w:pPr>
    </w:p>
    <w:p>
      <w:pPr>
        <w:spacing w:before="60" w:after="60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Легенда:</w:t>
      </w:r>
    </w:p>
    <w:p>
      <w:pPr>
        <w:pBdr>
          <w:bottom w:val="single" w:color="D7DEE6" w:sz="4"/>
        </w:pBdr>
        <w:spacing w:before="60" w:after="60"/>
      </w:pPr>
    </w:p>
    <w:p>
      <w:pPr>
        <w:pStyle w:val="Heading2"/>
        <w:spacing w:before="300" w:after="90"/>
      </w:pPr>
      <w:r>
        <w:rPr>
          <w:b/>
          <w:bCs/>
          <w:color w:val="00A88A"/>
          <w:sz w:val="26"/>
          <w:szCs w:val="26"/>
          <w:rFonts w:ascii="Calibri" w:cs="Calibri" w:eastAsia="Calibri" w:hAnsi="Calibri"/>
        </w:rPr>
        <w:t xml:space="preserve">6. МОДЕЛЬ ТА ОПИС БІЗНЕС-ПРОЦЕСУ</w:t>
      </w:r>
    </w:p>
    <w:p>
      <w:pPr>
        <w:pStyle w:val="Heading3"/>
        <w:spacing w:before="160" w:after="50"/>
      </w:pPr>
      <w:r>
        <w:rPr>
          <w:b/>
          <w:bCs/>
          <w:color w:val="0C2C45"/>
          <w:sz w:val="22"/>
          <w:szCs w:val="22"/>
          <w:rFonts w:ascii="Calibri" w:cs="Calibri" w:eastAsia="Calibri" w:hAnsi="Calibri"/>
        </w:rPr>
        <w:t xml:space="preserve">Входи бізнес-процесу: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затверджений план/бюджет закупівель ТМЦ]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потреба в ТМЦ від підрозділів (службова записка, заявка)]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договори рамкові/генеральні з постачальниками]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внутрішні політики та регламенти закупівель]</w:t>
      </w:r>
    </w:p>
    <w:p>
      <w:pPr>
        <w:pStyle w:val="Heading3"/>
        <w:spacing w:before="160" w:after="50"/>
      </w:pPr>
      <w:r>
        <w:rPr>
          <w:b/>
          <w:bCs/>
          <w:color w:val="0C2C45"/>
          <w:sz w:val="22"/>
          <w:szCs w:val="22"/>
          <w:rFonts w:ascii="Calibri" w:cs="Calibri" w:eastAsia="Calibri" w:hAnsi="Calibri"/>
        </w:rPr>
        <w:t xml:space="preserve">Опис кроків:</w:t>
      </w:r>
    </w:p>
    <w:tbl>
      <w:tblPr>
        <w:tblW w:type="pct" w:w="100%"/>
        <w:tblBorders>
          <w:top w:val="single" w:color="C9D4DF" w:sz="3"/>
          <w:left w:val="single" w:color="C9D4DF" w:sz="3"/>
          <w:bottom w:val="single" w:color="C9D4DF" w:sz="3"/>
          <w:right w:val="single" w:color="C9D4DF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 w:val="[object HTMLTableCellElement]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№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Дія (крок)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Виконавець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Опис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Терміни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Тривалість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IT-система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1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Ініціювання потреби в ТМЦ]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Ініціатор закупівлі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формує та подає заявку на закупівлю ТМЦ згідно з установленою формою]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ERP/СРМ/інша система]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зареєстрована заявка]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2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Погодження заявки на рівні підрозділу]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Керівник підрозділу-ініціатора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перевіряє обґрунтованість, повноту даних, пріоритет та погоджує/відхиляє заявку]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погоджена заявка або відмова]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3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Перевірка бюджету/лімітів]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Фінансовий контролер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перевіряє відповідність плану/бюджету, підтверджує наявність фінансування]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підтвердження бюджету]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Реєстрація та планування закупівлі]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Фахівець із закупівель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реєструє заявку, планує спосіб закупівлі, строки та відповідальних]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план закупівлі по заявці]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5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Вибір постачальника]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Фахівець із закупівель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проводить запит цін, тендер або використовує існуючі договори, аналізує пропозиції]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протокол вибору постачальника]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Погодження умов закупівлі/договора]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Фахівець із закупівель, Юрисконсульт, Керівник департаменту закупівель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узгодження цін, термінів, умов поставки, погодження проєкту договору]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погоджений договір/замовлення]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7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Оформлення та направлення замовлення]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Фахівець із закупівель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оформлює замовлення/PO в системі, направляє постачальнику]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ERP/закупівельна система]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відправлене замовлення постачальнику]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Приймання ТМЦ]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Склад / логістика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фізичне приймання, кількісна та якісна перевірка, оформлення прибуткових документів]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WMS/ERP]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оприбутковані ТМЦ]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9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Перевірка та передача закривальних документів]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Фахівець із закупівель, Бухгалтерія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перевірка рахунків, накладних, актів; передача до бухгалтерії для відображення в обліку]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передані/зареєстровані первинні документи]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10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Закриття заявки, аналіз результатів]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  <w:rFonts w:ascii="Calibri" w:cs="Calibri" w:eastAsia="Calibri" w:hAnsi="Calibri"/>
              </w:rPr>
              <w:t xml:space="preserve">Фахівець із закупівель, Власник процесу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оновлення статусу заявки, аналіз термінів, вартості, якісті; збір даних для KPI]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закрита заявка, дані для аналітики]</w:t>
            </w:r>
          </w:p>
        </w:tc>
      </w:tr>
    </w:tbl>
    <w:p>
      <w:pPr>
        <w:spacing w:after="80"/>
      </w:pPr>
    </w:p>
    <w:p>
      <w:pPr>
        <w:pStyle w:val="Heading3"/>
        <w:spacing w:before="160" w:after="50"/>
      </w:pPr>
      <w:r>
        <w:rPr>
          <w:b/>
          <w:bCs/>
          <w:color w:val="0C2C45"/>
          <w:sz w:val="22"/>
          <w:szCs w:val="22"/>
          <w:rFonts w:ascii="Calibri" w:cs="Calibri" w:eastAsia="Calibri" w:hAnsi="Calibri"/>
        </w:rPr>
        <w:t xml:space="preserve">Виходи бізнес-процесу: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поставлені та оприбутковані ТМЦ]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укладені договори з постачальниками]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первинні бухгалтерські документи]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звітність по закупівлях для фінансового та операційного управління]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процес «Управління запасами»]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процес «Фінансовий облік та звітність»]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процес «Управління договірною діяльністю»]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[потребує уточнення — інші суміжні процеси]</w:t>
      </w:r>
    </w:p>
    <w:p>
      <w:pPr>
        <w:pBdr>
          <w:bottom w:val="single" w:color="D7DEE6" w:sz="4"/>
        </w:pBdr>
        <w:spacing w:before="60" w:after="60"/>
      </w:pPr>
    </w:p>
    <w:p>
      <w:pPr>
        <w:pStyle w:val="Heading2"/>
        <w:spacing w:before="300" w:after="90"/>
      </w:pPr>
      <w:r>
        <w:rPr>
          <w:b/>
          <w:bCs/>
          <w:color w:val="00A88A"/>
          <w:sz w:val="26"/>
          <w:szCs w:val="26"/>
          <w:rFonts w:ascii="Calibri" w:cs="Calibri" w:eastAsia="Calibri" w:hAnsi="Calibri"/>
        </w:rPr>
        <w:t xml:space="preserve">7. РИЗИКИ ТА КОНТРОЛІ</w:t>
      </w:r>
    </w:p>
    <w:tbl>
      <w:tblPr>
        <w:tblW w:type="pct" w:w="100%"/>
        <w:tblBorders>
          <w:top w:val="single" w:color="C9D4DF" w:sz="3"/>
          <w:left w:val="single" w:color="C9D4DF" w:sz="3"/>
          <w:bottom w:val="single" w:color="C9D4DF" w:sz="3"/>
          <w:right w:val="single" w:color="C9D4DF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 w:val="[object HTMLTableCellElement]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Ризик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Ймовірність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Серйозність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Рівень ризику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Контроль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Відповідальний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0C2C4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Calibri" w:cs="Calibri" w:eastAsia="Calibri" w:hAnsi="Calibri"/>
              </w:rPr>
              <w:t xml:space="preserve">Періодичність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Несвоєчасна закупівля ТМЦ, що призводить до зупинки виробництва]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планування потреб, контроль SLA, резервні постачальники]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Власник процесу / Керівник департаменту закупівель]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Закупівля за завищеними цінами]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тендерні процедури, порівняльний аналіз, ліміти повноважень]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Порушення процедур/політик закупівель]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регулярні аудити, тренінги, контроль погоджень]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Невідповідна якість ТМЦ]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встановлені вимоги до якості, вхідний контроль, рекламації]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3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Неповна/некоректна документація]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5A6675"/>
                <w:sz w:val="15"/>
                <w:szCs w:val="15"/>
                <w:rFonts w:ascii="Calibri" w:cs="Calibri" w:eastAsia="Calibri" w:hAnsi="Calibri"/>
              </w:rPr>
              <w:t xml:space="preserve">[потребує уточнення — чек-листи, автоматизовані перевірки, шаблони]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  <w:tc>
          <w:tcPr>
            <w:tcBorders>
              <w:top w:val="single" w:color="C9D4DF" w:sz="3"/>
              <w:left w:val="single" w:color="C9D4DF" w:sz="3"/>
              <w:bottom w:val="single" w:color="C9D4DF" w:sz="3"/>
              <w:right w:val="single" w:color="C9D4DF" w:sz="3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color w:val="8A6D00"/>
                <w:sz w:val="15"/>
                <w:szCs w:val="15"/>
                <w:rFonts w:ascii="Calibri" w:cs="Calibri" w:eastAsia="Calibri" w:hAnsi="Calibri"/>
                <w:highlight w:val="yellow"/>
                <w:highlightCs w:val="yellow"/>
              </w:rPr>
              <w:t xml:space="preserve">⚠ потребує уточнення</w:t>
            </w:r>
          </w:p>
        </w:tc>
      </w:tr>
    </w:tbl>
    <w:p>
      <w:pPr>
        <w:spacing w:after="80"/>
      </w:pPr>
    </w:p>
    <w:p>
      <w:pPr>
        <w:pBdr>
          <w:bottom w:val="single" w:color="D7DEE6" w:sz="4"/>
        </w:pBdr>
        <w:spacing w:before="60" w:after="60"/>
      </w:pPr>
    </w:p>
    <w:p>
      <w:pPr>
        <w:pStyle w:val="Heading2"/>
        <w:spacing w:before="300" w:after="90"/>
      </w:pPr>
      <w:r>
        <w:rPr>
          <w:b/>
          <w:bCs/>
          <w:color w:val="00A88A"/>
          <w:sz w:val="26"/>
          <w:szCs w:val="26"/>
          <w:rFonts w:ascii="Calibri" w:cs="Calibri" w:eastAsia="Calibri" w:hAnsi="Calibri"/>
        </w:rPr>
        <w:t xml:space="preserve">8. ОЦІНКА БІЗНЕС-ПРОЦЕСУ (МЕТРИКИ)</w:t>
      </w:r>
    </w:p>
    <w:p>
      <w:pPr>
        <w:spacing w:after="10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Група метрик: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Ефективність та результативність процесу закупівель]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Метрика: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Середній цикл закупівлі ТМЦ]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Ціль метрики: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скорочення часу від заявки до поставки]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Методика розрахунку: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(Σ календарних днів по всіх завершених закупівлях за період) / (кількість завершених закупівель)]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Цільове значення: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  <w:r>
        <w:rPr>
          <w:b w:val="false"/>
          <w:bCs w:val="false"/>
          <w:i/>
          <w:iCs/>
          <w:color w:val="8A6D00"/>
          <w:sz w:val="21"/>
          <w:szCs w:val="21"/>
          <w:rFonts w:ascii="Calibri" w:cs="Calibri" w:eastAsia="Calibri" w:hAnsi="Calibri"/>
          <w:highlight w:val="yellow"/>
          <w:highlightCs w:val="yellow"/>
        </w:rPr>
        <w:t xml:space="preserve">⚠ потребує уточнення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Допустиме відхилення: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  <w:r>
        <w:rPr>
          <w:b w:val="false"/>
          <w:bCs w:val="false"/>
          <w:i/>
          <w:iCs/>
          <w:color w:val="8A6D00"/>
          <w:sz w:val="21"/>
          <w:szCs w:val="21"/>
          <w:rFonts w:ascii="Calibri" w:cs="Calibri" w:eastAsia="Calibri" w:hAnsi="Calibri"/>
          <w:highlight w:val="yellow"/>
          <w:highlightCs w:val="yellow"/>
        </w:rPr>
        <w:t xml:space="preserve">⚠ потребує уточнення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Джерело інформації: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ERP/закупівельна система] </w:t>
      </w:r>
    </w:p>
    <w:p>
      <w:pPr>
        <w:spacing w:after="10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Відповідальний за вимірювання: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Власник процесу / аналітик закупівель]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Метрика: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Частка закупівель у межах бюджету]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Ціль метрики: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забезпечення бюджетної дисципліни]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Методика розрахунку:</w:t>
      </w:r>
      <w:r>
        <w:rPr>
          <w:b w:val="false"/>
          <w:bCs w:val="false"/>
          <w:i/>
          <w:iCs/>
          <w:color w:val="5A6675"/>
          <w:sz w:val="21"/>
          <w:szCs w:val="21"/>
          <w:rFonts w:ascii="Calibri" w:cs="Calibri" w:eastAsia="Calibri" w:hAnsi="Calibri"/>
        </w:rPr>
        <w:t xml:space="preserve"> [потребує уточнення — (кількість закупівель, що не перевищили бюджет / загальна кількість закупівель) * 100%] </w:t>
      </w:r>
    </w:p>
    <w:p>
      <w:pPr>
        <w:spacing w:after="3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Цільове значення: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  <w:r>
        <w:rPr>
          <w:b w:val="false"/>
          <w:bCs w:val="false"/>
          <w:i/>
          <w:iCs/>
          <w:color w:val="8A6D00"/>
          <w:sz w:val="21"/>
          <w:szCs w:val="21"/>
          <w:rFonts w:ascii="Calibri" w:cs="Calibri" w:eastAsia="Calibri" w:hAnsi="Calibri"/>
          <w:highlight w:val="yellow"/>
          <w:highlightCs w:val="yellow"/>
        </w:rPr>
        <w:t xml:space="preserve">⚠ потребує уточнення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</w:t>
      </w:r>
    </w:p>
    <w:p>
      <w:pPr>
        <w:spacing w:after="100" w:line="276"/>
      </w:pPr>
      <w:r>
        <w:rPr>
          <w:b/>
          <w:bCs/>
          <w:i w:val="false"/>
          <w:iCs w:val="false"/>
          <w:sz w:val="21"/>
          <w:szCs w:val="21"/>
          <w:rFonts w:ascii="Calibri" w:cs="Calibri" w:eastAsia="Calibri" w:hAnsi="Calibri"/>
        </w:rPr>
        <w:t xml:space="preserve">Допустиме відхилення:</w:t>
      </w:r>
      <w:r>
        <w:rPr>
          <w:b w:val="false"/>
          <w:bCs w:val="false"/>
          <w:i w:val="false"/>
          <w:iCs w:val="false"/>
          <w:sz w:val="21"/>
          <w:szCs w:val="21"/>
          <w:rFonts w:ascii="Calibri" w:cs="Calibri" w:eastAsia="Calibri" w:hAnsi="Calibri"/>
        </w:rPr>
        <w:t xml:space="preserve"> [потребує уточ</w:t>
      </w:r>
    </w:p>
    <w:sectPr>
      <w:headerReference w:type="default" r:id="rId6"/>
      <w:footerReference w:type="default" r:id="rId7"/>
      <w:pgSz w:w="11906" w:h="16838" w:orient="portrait"/>
      <w:pgMar w:top="1300" w:right="11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6" w:sz="4"/>
      </w:pBdr>
      <w:tabs>
        <w:tab w:val="center" w:pos="4850"/>
        <w:tab w:val="right" w:pos="9700"/>
      </w:tabs>
      <w:spacing w:before="60"/>
    </w:pPr>
    <w:r>
      <w:rPr>
        <w:color w:val="5A6675"/>
        <w:sz w:val="14"/>
        <w:szCs w:val="14"/>
        <w:rFonts w:ascii="Calibri" w:cs="Calibri" w:eastAsia="Calibri" w:hAnsi="Calibri"/>
      </w:rPr>
      <w:t xml:space="preserve">Комерційна таємниця</w:t>
    </w:r>
    <w:r>
      <w:rPr>
        <w:color w:val="5A6675"/>
        <w:sz w:val="14"/>
        <w:szCs w:val="14"/>
        <w:rFonts w:ascii="Calibri" w:cs="Calibri" w:eastAsia="Calibri" w:hAnsi="Calibri"/>
      </w:rPr>
      <w:t xml:space="preserve">	АТ «Фармак»</w:t>
    </w:r>
    <w:r>
      <w:rPr>
        <w:color w:val="5A6675"/>
        <w:sz w:val="14"/>
        <w:szCs w:val="14"/>
        <w:rFonts w:ascii="Calibri" w:cs="Calibri" w:eastAsia="Calibri" w:hAnsi="Calibri"/>
      </w:rPr>
      <w:t xml:space="preserve">	Стор.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EE6" w:sz="4"/>
      </w:pBdr>
      <w:tabs>
        <w:tab w:val="right" w:pos="9700"/>
      </w:tabs>
      <w:spacing w:after="80"/>
    </w:pPr>
    <w:r>
      <w:rPr>
        <w:b/>
        <w:bCs/>
        <w:color w:val="00A88A"/>
        <w:sz w:val="15"/>
        <w:szCs w:val="15"/>
        <w:rFonts w:ascii="Calibri" w:cs="Calibri" w:eastAsia="Calibri" w:hAnsi="Calibri"/>
        <w:spacing w:val="20"/>
      </w:rPr>
      <w:t xml:space="preserve">АТ «Фармак»</w:t>
    </w:r>
    <w:r>
      <w:rPr>
        <w:color w:val="5A6675"/>
        <w:sz w:val="15"/>
        <w:szCs w:val="15"/>
        <w:rFonts w:ascii="Calibri" w:cs="Calibri" w:eastAsia="Calibri" w:hAnsi="Calibri"/>
      </w:rPr>
      <w:t xml:space="preserve">	ПРОЦЕДУРА: Процес закупівель ТМЦ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60"/>
      </w:pPr>
      <w:rPr>
        <w:color w:val="00A88A"/>
        <w:rFonts w:ascii="Calibri" w:cs="Calibri" w:eastAsia="Calibri" w:hAnsi="Calibr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00A8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A33"/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bCs/>
      <w:color w:val="0C2C45"/>
      <w:sz w:val="32"/>
      <w:szCs w:val="32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00A88A"/>
      <w:sz w:val="26"/>
      <w:szCs w:val="26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160" w:after="50"/>
      <w:outlineLvl w:val="2"/>
    </w:pPr>
    <w:rPr>
      <w:b/>
      <w:bCs/>
      <w:color w:val="0C2C45"/>
      <w:sz w:val="22"/>
      <w:szCs w:val="22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ПРОЦЕДУРА: Процес закупівель ТМЦ</dc:title>
  <dc:creator>ProcessAI</dc:creator>
  <dc:description>FARMAK BPM — ПРОЦЕДУРА</dc:description>
  <cp:lastModifiedBy>Un-named</cp:lastModifiedBy>
  <cp:revision>1</cp:revision>
  <dcterms:created xsi:type="dcterms:W3CDTF">2026-06-04T11:35:38.085Z</dcterms:created>
  <dcterms:modified xsi:type="dcterms:W3CDTF">2026-06-04T11:35:38.086Z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