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98" w:rsidRDefault="00313B98" w:rsidP="00313B98">
      <w:pPr>
        <w:pStyle w:val="1"/>
        <w:rPr>
          <w:lang w:val="uk-UA"/>
        </w:rPr>
      </w:pPr>
      <w:bookmarkStart w:id="0" w:name="_Toc451632603"/>
      <w:bookmarkStart w:id="1" w:name="_GoBack"/>
      <w:bookmarkEnd w:id="1"/>
      <w:r w:rsidRPr="00AE264C">
        <w:rPr>
          <w:lang w:val="uk-UA"/>
        </w:rPr>
        <w:t>Аналіз і узагальнення результатів</w:t>
      </w:r>
      <w:bookmarkEnd w:id="0"/>
    </w:p>
    <w:p w:rsidR="00313B98" w:rsidRDefault="00313B98" w:rsidP="00313B98">
      <w:pPr>
        <w:rPr>
          <w:lang w:val="uk-UA"/>
        </w:rPr>
      </w:pPr>
      <w:r w:rsidRPr="00A446F4">
        <w:rPr>
          <w:lang w:val="uk-UA"/>
        </w:rPr>
        <w:t>Головною задачею курсової роботи була реалізація програми для</w:t>
      </w:r>
      <w:r>
        <w:rPr>
          <w:lang w:val="uk-UA"/>
        </w:rPr>
        <w:t xml:space="preserve"> розв’язання СЛАР наступними методами: </w:t>
      </w:r>
      <w:r w:rsidRPr="00DE06E4">
        <w:rPr>
          <w:highlight w:val="yellow"/>
          <w:lang w:val="uk-UA"/>
        </w:rPr>
        <w:t xml:space="preserve">Якобі, </w:t>
      </w:r>
      <w:r w:rsidRPr="00DE06E4">
        <w:rPr>
          <w:highlight w:val="yellow"/>
          <w:lang w:val="en-US"/>
        </w:rPr>
        <w:t>..</w:t>
      </w:r>
      <w:r w:rsidRPr="00DE06E4">
        <w:rPr>
          <w:highlight w:val="yellow"/>
          <w:lang w:val="uk-UA"/>
        </w:rPr>
        <w:t>.</w:t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Критичні ситуації у роботі </w:t>
      </w:r>
      <w:r w:rsidRPr="00A446F4">
        <w:rPr>
          <w:lang w:val="uk-UA"/>
        </w:rPr>
        <w:t>програми виявлені не були</w:t>
      </w:r>
      <w:r>
        <w:rPr>
          <w:lang w:val="uk-UA"/>
        </w:rPr>
        <w:t>.</w:t>
      </w:r>
      <w:r w:rsidRPr="00A446F4">
        <w:rPr>
          <w:lang w:val="uk-UA"/>
        </w:rPr>
        <w:t xml:space="preserve"> </w:t>
      </w:r>
      <w:r>
        <w:rPr>
          <w:lang w:val="uk-UA"/>
        </w:rPr>
        <w:t>Під час тестування було виявлено, що більшість помилок виникало тоді, коли користувачем вводилися не числові вхідні дані. Тому всі дані, які вводить користувач, ретельно провіряються на валідність і лише потім подаються на обробку програмі.</w:t>
      </w:r>
    </w:p>
    <w:p w:rsidR="00313B98" w:rsidRPr="00D275F9" w:rsidRDefault="00313B98" w:rsidP="00313B98">
      <w:r>
        <w:rPr>
          <w:lang w:val="uk-UA"/>
        </w:rPr>
        <w:t xml:space="preserve">Для перевірки та доведення достовірності результатів </w:t>
      </w:r>
      <w:r w:rsidRPr="008D5937">
        <w:rPr>
          <w:lang w:val="uk-UA"/>
        </w:rPr>
        <w:t>виконання</w:t>
      </w:r>
      <w:r>
        <w:rPr>
          <w:lang w:val="uk-UA"/>
        </w:rPr>
        <w:t xml:space="preserve"> програмного забезпечення скористаюся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>:</w:t>
      </w:r>
    </w:p>
    <w:p w:rsidR="00313B98" w:rsidRPr="00313B98" w:rsidRDefault="00313B98" w:rsidP="00313B98">
      <w:pPr>
        <w:rPr>
          <w:lang w:val="en-US"/>
        </w:rPr>
      </w:pPr>
      <w:r>
        <w:t>а) Метод Якоб</w:t>
      </w:r>
      <w:r>
        <w:rPr>
          <w:lang w:val="uk-UA"/>
        </w:rPr>
        <w:t>і</w:t>
      </w:r>
      <w:r>
        <w:rPr>
          <w:lang w:val="en-US"/>
        </w:rPr>
        <w:t>.</w:t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Результат виконання методу Якобі </w:t>
      </w:r>
      <w:r w:rsidRPr="008D5937">
        <w:rPr>
          <w:lang w:val="uk-UA"/>
        </w:rPr>
        <w:t>наведено</w:t>
      </w:r>
      <w:r>
        <w:rPr>
          <w:lang w:val="uk-UA"/>
        </w:rPr>
        <w:t xml:space="preserve"> на рисунку 7.1:</w:t>
      </w:r>
    </w:p>
    <w:p w:rsidR="00313B98" w:rsidRDefault="00313B98" w:rsidP="00313B98">
      <w:pPr>
        <w:ind w:hanging="1"/>
        <w:jc w:val="center"/>
        <w:rPr>
          <w:lang w:val="uk-UA"/>
        </w:rPr>
      </w:pPr>
      <w:r>
        <w:rPr>
          <w:noProof/>
          <w:lang w:val="en-US" w:eastAsia="uk-UA"/>
        </w:rPr>
        <w:t xml:space="preserve"> </w:t>
      </w:r>
    </w:p>
    <w:p w:rsidR="00313B98" w:rsidRDefault="00313B98" w:rsidP="00313B98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</w:t>
      </w:r>
      <w:r w:rsidRPr="00765CA2">
        <w:rPr>
          <w:lang w:val="uk-UA"/>
        </w:rPr>
        <w:t>–</w:t>
      </w:r>
      <w:r>
        <w:rPr>
          <w:lang w:val="uk-UA"/>
        </w:rPr>
        <w:t xml:space="preserve"> Результат виконання методу Якобі</w:t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Оскільки результат виконання збігається з результатом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(</w:t>
      </w:r>
      <w:r>
        <w:rPr>
          <w:lang w:val="uk-UA"/>
        </w:rPr>
        <w:t>рисунок 7.2), то даний метод працює вірно.</w:t>
      </w:r>
    </w:p>
    <w:p w:rsidR="00313B98" w:rsidRDefault="00313B98" w:rsidP="00313B98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313B98" w:rsidRDefault="00313B98" w:rsidP="00313B98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544D7C4" wp14:editId="5D16329F">
            <wp:extent cx="3780000" cy="17679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7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98" w:rsidRPr="00D275F9" w:rsidRDefault="00313B98" w:rsidP="00313B98">
      <w:pPr>
        <w:ind w:firstLine="0"/>
        <w:jc w:val="center"/>
      </w:pPr>
      <w:r>
        <w:rPr>
          <w:lang w:val="uk-UA"/>
        </w:rPr>
        <w:t xml:space="preserve">Рисунок 7.2  </w:t>
      </w:r>
      <w:r w:rsidRPr="00765CA2">
        <w:rPr>
          <w:lang w:val="uk-UA"/>
        </w:rPr>
        <w:t>–</w:t>
      </w:r>
      <w:r>
        <w:rPr>
          <w:lang w:val="uk-UA"/>
        </w:rPr>
        <w:t xml:space="preserve"> Перевірка методу Якобі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2010</w:t>
      </w:r>
    </w:p>
    <w:p w:rsidR="00313B98" w:rsidRPr="00313B98" w:rsidRDefault="00313B98" w:rsidP="00313B98">
      <w:pPr>
        <w:rPr>
          <w:lang w:val="en-US"/>
        </w:rPr>
      </w:pPr>
      <w:r>
        <w:t>б)</w:t>
      </w:r>
      <w:r w:rsidRPr="00D275F9">
        <w:t xml:space="preserve"> </w:t>
      </w:r>
      <w:r>
        <w:rPr>
          <w:lang w:val="uk-UA"/>
        </w:rPr>
        <w:t>Метод Гауса-</w:t>
      </w:r>
      <w:proofErr w:type="spellStart"/>
      <w:r>
        <w:rPr>
          <w:lang w:val="uk-UA"/>
        </w:rPr>
        <w:t>Зейделя</w:t>
      </w:r>
      <w:proofErr w:type="spellEnd"/>
      <w:r>
        <w:rPr>
          <w:lang w:val="en-US"/>
        </w:rPr>
        <w:t>.</w:t>
      </w:r>
    </w:p>
    <w:p w:rsidR="00313B98" w:rsidRDefault="00313B98" w:rsidP="00313B98">
      <w:pPr>
        <w:rPr>
          <w:lang w:val="en-US"/>
        </w:rPr>
      </w:pPr>
      <w:r w:rsidRPr="00DE06E4">
        <w:rPr>
          <w:highlight w:val="yellow"/>
          <w:lang w:val="en-US"/>
        </w:rPr>
        <w:t>…</w:t>
      </w:r>
    </w:p>
    <w:p w:rsidR="00313B98" w:rsidRDefault="00313B98" w:rsidP="00313B98">
      <w:pPr>
        <w:rPr>
          <w:lang w:val="en-US"/>
        </w:rPr>
      </w:pPr>
    </w:p>
    <w:p w:rsidR="00313B98" w:rsidRDefault="00313B98" w:rsidP="00313B98">
      <w:pPr>
        <w:rPr>
          <w:lang w:val="en-US"/>
        </w:rPr>
      </w:pPr>
    </w:p>
    <w:p w:rsidR="00313B98" w:rsidRPr="00313B98" w:rsidRDefault="00313B98" w:rsidP="00313B98">
      <w:pPr>
        <w:rPr>
          <w:lang w:val="en-US"/>
        </w:rPr>
      </w:pP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Для проведення тестування ефективності програми було </w:t>
      </w:r>
      <w:r w:rsidRPr="008D5937">
        <w:rPr>
          <w:lang w:val="uk-UA"/>
        </w:rPr>
        <w:t>створено</w:t>
      </w:r>
      <w:r>
        <w:rPr>
          <w:lang w:val="uk-UA"/>
        </w:rPr>
        <w:t xml:space="preserve"> матриці наступного вигляду:</w:t>
      </w:r>
    </w:p>
    <w:p w:rsidR="00313B98" w:rsidRDefault="00DE06E4" w:rsidP="00313B98">
      <w:pPr>
        <w:jc w:val="center"/>
        <w:rPr>
          <w:rFonts w:eastAsiaTheme="minorEastAsia"/>
          <w:lang w:val="uk-UA"/>
        </w:rPr>
      </w:pP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2n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2n</m:t>
                        </m:r>
                      </m:e>
                    </m:mr>
                  </m:m>
                </m:e>
              </m:mr>
            </m:m>
          </m:e>
        </m:d>
      </m:oMath>
      <w:r w:rsidR="00313B98">
        <w:rPr>
          <w:rFonts w:eastAsiaTheme="minorEastAsia"/>
          <w:lang w:val="uk-UA"/>
        </w:rPr>
        <w:t xml:space="preserve"> (7.1), </w:t>
      </w:r>
    </w:p>
    <w:p w:rsidR="00313B98" w:rsidRPr="00D275F9" w:rsidRDefault="00313B98" w:rsidP="00313B98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 w:rsidRPr="00D275F9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розмірність системи.</w:t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Матриця (7.1) для </w:t>
      </w:r>
      <w:proofErr w:type="spellStart"/>
      <w:r w:rsidRPr="008D5937">
        <w:rPr>
          <w:lang w:val="uk-UA"/>
        </w:rPr>
        <w:t>для</w:t>
      </w:r>
      <w:proofErr w:type="spellEnd"/>
      <w:r w:rsidRPr="008D5937">
        <w:rPr>
          <w:lang w:val="uk-UA"/>
        </w:rPr>
        <w:t xml:space="preserve"> довільного додатного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>
        <w:rPr>
          <w:lang w:val="uk-UA"/>
        </w:rPr>
        <w:t xml:space="preserve">  є симетричною, додатньо визначеною та має домінантну головну діагональ. </w:t>
      </w:r>
    </w:p>
    <w:p w:rsidR="00313B98" w:rsidRDefault="00313B98" w:rsidP="00313B98">
      <w:pPr>
        <w:rPr>
          <w:lang w:val="en-US"/>
        </w:rPr>
      </w:pPr>
      <w:r>
        <w:rPr>
          <w:lang w:val="uk-UA"/>
        </w:rPr>
        <w:t xml:space="preserve">Результати тестування ефективності алгоритмів </w:t>
      </w:r>
      <w:r w:rsidRPr="008D5937">
        <w:rPr>
          <w:lang w:val="uk-UA"/>
        </w:rPr>
        <w:t>розв’язання</w:t>
      </w:r>
      <w:r>
        <w:rPr>
          <w:lang w:val="uk-UA"/>
        </w:rPr>
        <w:t xml:space="preserve"> СЛАР наведено в таблиці 7.1:</w:t>
      </w:r>
    </w:p>
    <w:p w:rsidR="00DE06E4" w:rsidRDefault="00DE06E4" w:rsidP="00313B98">
      <w:pPr>
        <w:rPr>
          <w:lang w:val="en-US"/>
        </w:rPr>
      </w:pPr>
    </w:p>
    <w:p w:rsidR="00DE06E4" w:rsidRPr="00DE06E4" w:rsidRDefault="00DE06E4" w:rsidP="00313B98">
      <w:pPr>
        <w:rPr>
          <w:lang w:val="uk-UA"/>
        </w:rPr>
      </w:pPr>
      <w:r w:rsidRPr="00DE06E4">
        <w:rPr>
          <w:highlight w:val="red"/>
          <w:lang w:val="uk-UA"/>
        </w:rPr>
        <w:t>! Це лише приклад</w:t>
      </w:r>
    </w:p>
    <w:p w:rsidR="00DE06E4" w:rsidRDefault="00DE06E4" w:rsidP="00313B98">
      <w:pPr>
        <w:rPr>
          <w:lang w:val="en-US"/>
        </w:rPr>
      </w:pPr>
    </w:p>
    <w:p w:rsidR="00DE06E4" w:rsidRDefault="00DE06E4" w:rsidP="00313B98">
      <w:pPr>
        <w:rPr>
          <w:lang w:val="en-US"/>
        </w:rPr>
      </w:pPr>
    </w:p>
    <w:p w:rsidR="00DE06E4" w:rsidRDefault="00DE06E4" w:rsidP="00313B98">
      <w:pPr>
        <w:rPr>
          <w:lang w:val="en-US"/>
        </w:rPr>
      </w:pPr>
    </w:p>
    <w:p w:rsidR="00DE06E4" w:rsidRDefault="00DE06E4" w:rsidP="00313B98">
      <w:pPr>
        <w:rPr>
          <w:lang w:val="en-US"/>
        </w:rPr>
      </w:pPr>
    </w:p>
    <w:p w:rsidR="00DE06E4" w:rsidRDefault="00DE06E4" w:rsidP="00313B98">
      <w:pPr>
        <w:rPr>
          <w:lang w:val="en-US"/>
        </w:rPr>
      </w:pPr>
    </w:p>
    <w:p w:rsidR="00DE06E4" w:rsidRPr="00DE06E4" w:rsidRDefault="00DE06E4" w:rsidP="00313B98">
      <w:pPr>
        <w:rPr>
          <w:lang w:val="en-US"/>
        </w:rPr>
      </w:pPr>
    </w:p>
    <w:p w:rsidR="00313B98" w:rsidRDefault="00313B98" w:rsidP="00313B98">
      <w:pPr>
        <w:ind w:firstLine="0"/>
        <w:rPr>
          <w:lang w:val="uk-UA"/>
        </w:rPr>
      </w:pPr>
      <w:r>
        <w:rPr>
          <w:lang w:val="uk-UA"/>
        </w:rPr>
        <w:lastRenderedPageBreak/>
        <w:t>Таблиця 7.1 – Тестування ефективності методів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134"/>
        <w:gridCol w:w="1166"/>
        <w:gridCol w:w="1243"/>
      </w:tblGrid>
      <w:tr w:rsidR="00313B98" w:rsidTr="007C1187">
        <w:tc>
          <w:tcPr>
            <w:tcW w:w="1668" w:type="dxa"/>
            <w:vMerge w:val="restart"/>
            <w:vAlign w:val="center"/>
          </w:tcPr>
          <w:p w:rsidR="00313B98" w:rsidRPr="00313B98" w:rsidRDefault="00313B98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Розмірність системи</w:t>
            </w:r>
          </w:p>
        </w:tc>
        <w:tc>
          <w:tcPr>
            <w:tcW w:w="4536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proofErr w:type="spellStart"/>
            <w:r>
              <w:t>Параметри</w:t>
            </w:r>
            <w:proofErr w:type="spellEnd"/>
            <w:r>
              <w:t xml:space="preserve"> </w:t>
            </w:r>
            <w:proofErr w:type="spellStart"/>
            <w:r>
              <w:t>тестування</w:t>
            </w:r>
            <w:proofErr w:type="spellEnd"/>
          </w:p>
        </w:tc>
        <w:tc>
          <w:tcPr>
            <w:tcW w:w="3543" w:type="dxa"/>
            <w:gridSpan w:val="3"/>
            <w:vAlign w:val="center"/>
          </w:tcPr>
          <w:p w:rsidR="00313B98" w:rsidRDefault="00313B98" w:rsidP="007C1187">
            <w:pPr>
              <w:tabs>
                <w:tab w:val="left" w:pos="1750"/>
              </w:tabs>
              <w:ind w:firstLine="0"/>
              <w:jc w:val="center"/>
            </w:pPr>
            <w:r>
              <w:t>Метод</w:t>
            </w: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  <w:proofErr w:type="spellStart"/>
            <w:r>
              <w:t>Якобі</w:t>
            </w:r>
            <w:proofErr w:type="spellEnd"/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  <w:proofErr w:type="spellStart"/>
            <w:r>
              <w:t>Гауса</w:t>
            </w:r>
            <w:proofErr w:type="spellEnd"/>
            <w:r>
              <w:t>-Зейделя</w:t>
            </w: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  <w:proofErr w:type="spellStart"/>
            <w:r>
              <w:t>Градієнтного</w:t>
            </w:r>
            <w:proofErr w:type="spellEnd"/>
            <w:r>
              <w:t xml:space="preserve"> спуску</w:t>
            </w: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1000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DE06E4" w:rsidP="007C1187">
            <w:pPr>
              <w:ind w:firstLine="0"/>
              <w:jc w:val="center"/>
              <w:rPr>
                <w:lang w:val="uk-UA"/>
              </w:rPr>
            </w:pPr>
            <w:r w:rsidRPr="00DE06E4">
              <w:rPr>
                <w:highlight w:val="yellow"/>
                <w:lang w:val="uk-UA"/>
              </w:rPr>
              <w:t>Власний критерій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2500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5000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10000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15000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</w:tbl>
    <w:p w:rsidR="00313B98" w:rsidRDefault="00313B98" w:rsidP="00313B98">
      <w:pPr>
        <w:rPr>
          <w:lang w:val="uk-UA"/>
        </w:rPr>
      </w:pPr>
    </w:p>
    <w:p w:rsidR="00313B98" w:rsidRDefault="00313B98" w:rsidP="00313B98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lastRenderedPageBreak/>
        <w:t xml:space="preserve">Візуалізація результатів </w:t>
      </w:r>
      <w:proofErr w:type="spellStart"/>
      <w:r>
        <w:rPr>
          <w:lang w:val="uk-UA"/>
        </w:rPr>
        <w:t>табилиці</w:t>
      </w:r>
      <w:proofErr w:type="spellEnd"/>
      <w:r>
        <w:rPr>
          <w:lang w:val="uk-UA"/>
        </w:rPr>
        <w:t xml:space="preserve"> 7.1 наведено на рисунку 7.1:</w:t>
      </w:r>
    </w:p>
    <w:p w:rsidR="00313B98" w:rsidRDefault="00313B98" w:rsidP="00313B98">
      <w:pPr>
        <w:rPr>
          <w:lang w:val="uk-UA"/>
        </w:rPr>
      </w:pPr>
    </w:p>
    <w:p w:rsidR="00313B98" w:rsidRDefault="00313B98" w:rsidP="00313B98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– </w:t>
      </w:r>
      <w:r w:rsidRPr="00351F7A">
        <w:rPr>
          <w:lang w:val="uk-UA"/>
        </w:rPr>
        <w:t>Графік</w:t>
      </w:r>
      <w:r>
        <w:rPr>
          <w:lang w:val="uk-UA"/>
        </w:rPr>
        <w:t xml:space="preserve"> залежності </w:t>
      </w:r>
      <w:r w:rsidR="00DE06E4">
        <w:rPr>
          <w:lang w:val="uk-UA"/>
        </w:rPr>
        <w:t>кількості ітерацій</w:t>
      </w:r>
      <w:r>
        <w:rPr>
          <w:lang w:val="uk-UA"/>
        </w:rPr>
        <w:t xml:space="preserve"> методу від розміру </w:t>
      </w:r>
      <w:r>
        <w:rPr>
          <w:lang w:val="uk-UA"/>
        </w:rPr>
        <w:br/>
        <w:t>вхідної системи</w:t>
      </w:r>
    </w:p>
    <w:p w:rsidR="00C15316" w:rsidRPr="00C15316" w:rsidRDefault="00C15316" w:rsidP="00313B98">
      <w:pPr>
        <w:rPr>
          <w:lang w:val="uk-UA"/>
        </w:rPr>
      </w:pPr>
      <w:r w:rsidRPr="00C15316">
        <w:rPr>
          <w:highlight w:val="yellow"/>
          <w:lang w:val="uk-UA"/>
        </w:rPr>
        <w:t>Необхідні графіки по усіх критеріях.</w:t>
      </w:r>
    </w:p>
    <w:p w:rsidR="00C15316" w:rsidRDefault="00C15316" w:rsidP="00313B98">
      <w:pPr>
        <w:rPr>
          <w:lang w:val="en-US"/>
        </w:rPr>
      </w:pPr>
    </w:p>
    <w:p w:rsidR="00C15316" w:rsidRDefault="00C15316" w:rsidP="00313B98">
      <w:pPr>
        <w:rPr>
          <w:lang w:val="en-US"/>
        </w:rPr>
      </w:pPr>
    </w:p>
    <w:p w:rsidR="00313B98" w:rsidRDefault="00313B98" w:rsidP="00313B98">
      <w:pPr>
        <w:rPr>
          <w:lang w:val="uk-UA"/>
        </w:rPr>
      </w:pPr>
      <w:r>
        <w:rPr>
          <w:lang w:val="uk-UA"/>
        </w:rPr>
        <w:t>За результатами тестування можна зробити такі висновки:</w:t>
      </w:r>
    </w:p>
    <w:p w:rsidR="00313B98" w:rsidRPr="00DE06E4" w:rsidRDefault="00313B98" w:rsidP="00313B98">
      <w:pPr>
        <w:ind w:left="1418" w:hanging="709"/>
        <w:rPr>
          <w:highlight w:val="yellow"/>
          <w:lang w:val="uk-UA"/>
        </w:rPr>
      </w:pPr>
      <w:r w:rsidRPr="00DE06E4">
        <w:rPr>
          <w:highlight w:val="yellow"/>
          <w:lang w:val="uk-UA"/>
        </w:rPr>
        <w:t>а)</w:t>
      </w:r>
      <w:r w:rsidRPr="00DE06E4">
        <w:rPr>
          <w:highlight w:val="yellow"/>
          <w:lang w:val="uk-UA"/>
        </w:rPr>
        <w:tab/>
        <w:t xml:space="preserve">Всі розглянуті методи дозволяю знаходити </w:t>
      </w:r>
      <w:proofErr w:type="spellStart"/>
      <w:r w:rsidRPr="00DE06E4">
        <w:rPr>
          <w:highlight w:val="yellow"/>
          <w:lang w:val="uk-UA"/>
        </w:rPr>
        <w:t>розвязки</w:t>
      </w:r>
      <w:proofErr w:type="spellEnd"/>
      <w:r w:rsidRPr="00DE06E4">
        <w:rPr>
          <w:highlight w:val="yellow"/>
          <w:lang w:val="uk-UA"/>
        </w:rPr>
        <w:t xml:space="preserve"> великих та надвеликих СЛАР.</w:t>
      </w:r>
    </w:p>
    <w:p w:rsidR="00313B98" w:rsidRPr="00DE06E4" w:rsidRDefault="00313B98" w:rsidP="00313B98">
      <w:pPr>
        <w:ind w:left="1418" w:hanging="709"/>
        <w:rPr>
          <w:rFonts w:eastAsiaTheme="minorEastAsia"/>
          <w:highlight w:val="yellow"/>
          <w:lang w:val="uk-UA"/>
        </w:rPr>
      </w:pPr>
      <w:r w:rsidRPr="00DE06E4">
        <w:rPr>
          <w:highlight w:val="yellow"/>
          <w:lang w:val="uk-UA"/>
        </w:rPr>
        <w:t>б)</w:t>
      </w:r>
      <w:r w:rsidRPr="00DE06E4">
        <w:rPr>
          <w:highlight w:val="yellow"/>
          <w:lang w:val="uk-UA"/>
        </w:rPr>
        <w:tab/>
        <w:t>Складність всіх розглянутих методів є квадратичною, тобто –</w:t>
      </w:r>
      <w:r w:rsidRPr="00DE06E4">
        <w:rPr>
          <w:highlight w:val="yellow"/>
          <w:lang w:val="uk-UA"/>
        </w:rPr>
        <w:br/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O(k* </m:t>
        </m:r>
        <m:sSup>
          <m:sSup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  <w:lang w:val="uk-UA"/>
              </w:rPr>
              <m:t>2</m:t>
            </m:r>
          </m:sup>
        </m:sSup>
        <m:r>
          <w:rPr>
            <w:rFonts w:ascii="Cambria Math" w:hAnsi="Cambria Math"/>
            <w:highlight w:val="yellow"/>
            <w:lang w:val="uk-UA"/>
          </w:rPr>
          <m:t>)</m:t>
        </m:r>
      </m:oMath>
      <w:r w:rsidRPr="00DE06E4">
        <w:rPr>
          <w:rFonts w:eastAsiaTheme="minorEastAsia"/>
          <w:highlight w:val="yellow"/>
          <w:lang w:val="uk-UA"/>
        </w:rPr>
        <w:t xml:space="preserve">, де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k</m:t>
        </m:r>
      </m:oMath>
      <w:r w:rsidRPr="00DE06E4">
        <w:rPr>
          <w:rFonts w:eastAsiaTheme="minorEastAsia"/>
          <w:highlight w:val="yellow"/>
          <w:lang w:val="uk-UA"/>
        </w:rPr>
        <w:t xml:space="preserve"> – кількість ітерацій виконаних методом,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n</m:t>
        </m:r>
      </m:oMath>
      <w:r w:rsidRPr="00DE06E4">
        <w:rPr>
          <w:rFonts w:eastAsiaTheme="minorEastAsia"/>
          <w:highlight w:val="yellow"/>
          <w:lang w:val="uk-UA"/>
        </w:rPr>
        <w:t xml:space="preserve"> – розмір СЛАР.</w:t>
      </w:r>
    </w:p>
    <w:p w:rsidR="00313B98" w:rsidRPr="00EA720C" w:rsidRDefault="00313B98" w:rsidP="00313B98">
      <w:pPr>
        <w:ind w:left="1418" w:hanging="709"/>
        <w:rPr>
          <w:i/>
          <w:lang w:val="uk-UA"/>
        </w:rPr>
      </w:pPr>
      <w:r w:rsidRPr="00DE06E4">
        <w:rPr>
          <w:rFonts w:eastAsiaTheme="minorEastAsia"/>
          <w:highlight w:val="yellow"/>
          <w:lang w:val="uk-UA"/>
        </w:rPr>
        <w:t>в)</w:t>
      </w:r>
      <w:r w:rsidRPr="00DE06E4">
        <w:rPr>
          <w:rFonts w:eastAsiaTheme="minorEastAsia"/>
          <w:highlight w:val="yellow"/>
          <w:lang w:val="uk-UA"/>
        </w:rPr>
        <w:tab/>
        <w:t>З розглянутих методів найоптимальнішим для практичного використання є метод  Гауса-</w:t>
      </w:r>
      <w:proofErr w:type="spellStart"/>
      <w:r w:rsidRPr="00DE06E4">
        <w:rPr>
          <w:rFonts w:eastAsiaTheme="minorEastAsia"/>
          <w:highlight w:val="yellow"/>
          <w:lang w:val="uk-UA"/>
        </w:rPr>
        <w:t>Зейделя</w:t>
      </w:r>
      <w:proofErr w:type="spellEnd"/>
      <w:r w:rsidRPr="00DE06E4">
        <w:rPr>
          <w:rFonts w:eastAsiaTheme="minorEastAsia"/>
          <w:highlight w:val="yellow"/>
          <w:lang w:val="uk-UA"/>
        </w:rPr>
        <w:t xml:space="preserve">, оскільки він виконується найшвидше та має такі умови </w:t>
      </w:r>
      <w:proofErr w:type="spellStart"/>
      <w:r w:rsidRPr="00DE06E4">
        <w:rPr>
          <w:rFonts w:eastAsiaTheme="minorEastAsia"/>
          <w:highlight w:val="yellow"/>
          <w:lang w:val="uk-UA"/>
        </w:rPr>
        <w:t>сходимості</w:t>
      </w:r>
      <w:proofErr w:type="spellEnd"/>
      <w:r w:rsidRPr="00DE06E4">
        <w:rPr>
          <w:rFonts w:eastAsiaTheme="minorEastAsia"/>
          <w:highlight w:val="yellow"/>
          <w:lang w:val="uk-UA"/>
        </w:rPr>
        <w:t>, що охоплюють найширший спектр СЛАР.</w:t>
      </w:r>
    </w:p>
    <w:p w:rsidR="00703626" w:rsidRDefault="00DE06E4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85"/>
    <w:rsid w:val="001D15D9"/>
    <w:rsid w:val="00313B98"/>
    <w:rsid w:val="007F41A7"/>
    <w:rsid w:val="009C40DF"/>
    <w:rsid w:val="00C02B5E"/>
    <w:rsid w:val="00C15316"/>
    <w:rsid w:val="00D078C3"/>
    <w:rsid w:val="00DE06E4"/>
    <w:rsid w:val="00E101BA"/>
    <w:rsid w:val="00E71FB8"/>
    <w:rsid w:val="00F6398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9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313B98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3B98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3B9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B98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B98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13B98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13B98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313B98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31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3B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B9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9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313B98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3B98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3B9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B98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B98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13B98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13B98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313B98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31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3B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B9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1636</Words>
  <Characters>933</Characters>
  <Application>Microsoft Office Word</Application>
  <DocSecurity>0</DocSecurity>
  <Lines>7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2017-05-04T23:15:00Z</dcterms:created>
  <dcterms:modified xsi:type="dcterms:W3CDTF">2020-05-09T22:59:00Z</dcterms:modified>
</cp:coreProperties>
</file>