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0"/>
          <w:szCs w:val="20"/>
        </w:rPr>
      </w:pPr>
      <w:r w:rsidDel="00000000" w:rsidR="00000000" w:rsidRPr="00000000">
        <w:rPr>
          <w:rtl w:val="0"/>
        </w:rPr>
        <w:t xml:space="preserve">Benchmarks: </w:t>
      </w:r>
      <w:r w:rsidDel="00000000" w:rsidR="00000000" w:rsidRPr="00000000">
        <w:rPr>
          <w:sz w:val="20"/>
          <w:szCs w:val="20"/>
          <w:rtl w:val="0"/>
        </w:rPr>
        <w:t xml:space="preserve">SPLASH-2 [41], NPB OpenMP [22], and SPEComp, BioParallel, MineBench, PARSEC</w:t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Arguments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-419099</wp:posOffset>
            </wp:positionH>
            <wp:positionV relativeFrom="paragraph">
              <wp:posOffset>142875</wp:posOffset>
            </wp:positionV>
            <wp:extent cx="6478055" cy="4046613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8055" cy="40466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