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Courier New" w:hAnsi="Courier New"/>
          <w:b w:val="0"/>
          <w:color w:val="666666"/>
          <w:sz w:val="16"/>
        </w:rPr>
        <w:t>JUNE 2026  ·  INTERNAL</w:t>
      </w:r>
    </w:p>
    <w:p>
      <w:pPr>
        <w:spacing w:before="80" w:after="120"/>
      </w:pPr>
      <w:r>
        <w:rPr>
          <w:rFonts w:ascii="DM Sans" w:hAnsi="DM Sans"/>
          <w:b/>
          <w:color w:val="0B0B0B"/>
          <w:sz w:val="40"/>
        </w:rPr>
        <w:t>IL Protection Lapse Explainability App</w:t>
      </w:r>
    </w:p>
    <w:p>
      <w:pPr>
        <w:spacing w:after="280"/>
      </w:pPr>
      <w:r>
        <w:rPr>
          <w:rFonts w:ascii="DM Sans" w:hAnsi="DM Sans"/>
          <w:b w:val="0"/>
          <w:color w:val="444444"/>
          <w:sz w:val="24"/>
        </w:rPr>
        <w:t>User Guide — Python Backend &amp; React Frontend</w:t>
      </w:r>
    </w:p>
    <w:p>
      <w:pPr>
        <w:spacing w:after="120"/>
      </w:pPr>
      <w:r>
        <w:rPr>
          <w:rFonts w:ascii="DM Sans" w:hAnsi="DM Sans"/>
          <w:b w:val="0"/>
          <w:color w:val="222222"/>
          <w:sz w:val="22"/>
        </w:rPr>
        <w:t>This guide covers installation, configuration, and day-to-day use of the Explainability App for the Protection Lapse Propensity model. The app surfaces grouped SHAP explanations, cohort filtering, individual policy look-up, and an AI-generated narrative layer on top of DataRobot prediction outputs.</w:t>
      </w:r>
    </w:p>
    <w:p>
      <w:r>
        <w:br w:type="page"/>
      </w:r>
    </w:p>
    <w:p>
      <w:pPr>
        <w:spacing w:before="280" w:after="80"/>
        <w:pBdr>
          <w:bottom w:val="single" w:sz="6" w:space="4" w:color="81FBA5"/>
        </w:pBdr>
      </w:pPr>
      <w:r>
        <w:rPr>
          <w:rFonts w:ascii="DM Sans" w:hAnsi="DM Sans"/>
          <w:b/>
          <w:color w:val="0B0B0B"/>
          <w:sz w:val="32"/>
        </w:rPr>
        <w:t>1. Architecture Overview</w:t>
      </w:r>
    </w:p>
    <w:p>
      <w:pPr>
        <w:spacing w:after="120"/>
      </w:pPr>
      <w:r>
        <w:rPr>
          <w:rFonts w:ascii="DM Sans" w:hAnsi="DM Sans"/>
          <w:b w:val="0"/>
          <w:color w:val="222222"/>
          <w:sz w:val="22"/>
        </w:rPr>
        <w:t>The application follows a two-tier architecture: a Python FastAPI backend that fetches live data from DataRobot at startup, and a lightweight React + Vite frontend that consumes its REST API.</w:t>
      </w:r>
    </w:p>
    <w:tbl>
      <w:tblPr>
        <w:tblStyle w:val="TableGrid"/>
        <w:tblW w:type="auto" w:w="0"/>
        <w:tblLook w:firstColumn="1" w:firstRow="1" w:lastColumn="0" w:lastRow="0" w:noHBand="0" w:noVBand="1" w:val="04A0"/>
      </w:tblPr>
      <w:tblGrid>
        <w:gridCol w:w="3264"/>
        <w:gridCol w:w="3264"/>
        <w:gridCol w:w="3264"/>
      </w:tblGrid>
      <w:tr>
        <w:tc>
          <w:tcPr>
            <w:tcW w:type="dxa" w:w="3264"/>
          </w:tcPr>
          <w:p/>
        </w:tc>
        <w:tc>
          <w:tcPr>
            <w:tcW w:type="dxa" w:w="3264"/>
          </w:tcPr>
          <w:p/>
        </w:tc>
        <w:tc>
          <w:tcPr>
            <w:tcW w:type="dxa" w:w="3264"/>
          </w:tcPr>
          <w:p/>
        </w:tc>
      </w:tr>
      <w:tr>
        <w:tc>
          <w:tcPr>
            <w:tcW w:type="dxa" w:w="3264"/>
            <w:shd w:val="clear" w:color="auto" w:fill="81FBA5"/>
          </w:tcPr>
          <w:p>
            <w:r/>
            <w:r>
              <w:rPr>
                <w:rFonts w:ascii="DM Sans" w:hAnsi="DM Sans"/>
                <w:b/>
                <w:color w:val="0B0B0B"/>
                <w:sz w:val="20"/>
              </w:rPr>
              <w:t>Layer</w:t>
            </w:r>
          </w:p>
        </w:tc>
        <w:tc>
          <w:tcPr>
            <w:tcW w:type="dxa" w:w="3264"/>
            <w:shd w:val="clear" w:color="auto" w:fill="81FBA5"/>
          </w:tcPr>
          <w:p>
            <w:r/>
            <w:r>
              <w:rPr>
                <w:rFonts w:ascii="DM Sans" w:hAnsi="DM Sans"/>
                <w:b/>
                <w:color w:val="0B0B0B"/>
                <w:sz w:val="20"/>
              </w:rPr>
              <w:t>Technology</w:t>
            </w:r>
          </w:p>
        </w:tc>
        <w:tc>
          <w:tcPr>
            <w:tcW w:type="dxa" w:w="3264"/>
            <w:shd w:val="clear" w:color="auto" w:fill="81FBA5"/>
          </w:tcPr>
          <w:p>
            <w:r/>
            <w:r>
              <w:rPr>
                <w:rFonts w:ascii="DM Sans" w:hAnsi="DM Sans"/>
                <w:b/>
                <w:color w:val="0B0B0B"/>
                <w:sz w:val="20"/>
              </w:rPr>
              <w:t>Purpose</w:t>
            </w:r>
          </w:p>
        </w:tc>
      </w:tr>
      <w:tr>
        <w:tc>
          <w:tcPr>
            <w:tcW w:type="dxa" w:w="3264"/>
          </w:tcPr>
          <w:p>
            <w:r/>
            <w:r>
              <w:rPr>
                <w:rFonts w:ascii="DM Sans" w:hAnsi="DM Sans"/>
                <w:b w:val="0"/>
                <w:color w:val="222222"/>
                <w:sz w:val="20"/>
              </w:rPr>
              <w:t>Backend</w:t>
            </w:r>
          </w:p>
        </w:tc>
        <w:tc>
          <w:tcPr>
            <w:tcW w:type="dxa" w:w="3264"/>
          </w:tcPr>
          <w:p>
            <w:r/>
            <w:r>
              <w:rPr>
                <w:rFonts w:ascii="DM Sans" w:hAnsi="DM Sans"/>
                <w:b w:val="0"/>
                <w:color w:val="222222"/>
                <w:sz w:val="20"/>
              </w:rPr>
              <w:t>Python 3.11 · FastAPI · DataRobot SDK</w:t>
            </w:r>
          </w:p>
        </w:tc>
        <w:tc>
          <w:tcPr>
            <w:tcW w:type="dxa" w:w="3264"/>
          </w:tcPr>
          <w:p>
            <w:r/>
            <w:r>
              <w:rPr>
                <w:rFonts w:ascii="DM Sans" w:hAnsi="DM Sans"/>
                <w:b w:val="0"/>
                <w:color w:val="222222"/>
                <w:sz w:val="20"/>
              </w:rPr>
              <w:t>Data pipeline, SHAP aggregation, LLM narrative, REST API</w:t>
            </w:r>
          </w:p>
        </w:tc>
      </w:tr>
      <w:tr>
        <w:tc>
          <w:tcPr>
            <w:tcW w:type="dxa" w:w="3264"/>
          </w:tcPr>
          <w:p>
            <w:r/>
            <w:r>
              <w:rPr>
                <w:rFonts w:ascii="DM Sans" w:hAnsi="DM Sans"/>
                <w:b w:val="0"/>
                <w:color w:val="222222"/>
                <w:sz w:val="20"/>
              </w:rPr>
              <w:t>Frontend</w:t>
            </w:r>
          </w:p>
        </w:tc>
        <w:tc>
          <w:tcPr>
            <w:tcW w:type="dxa" w:w="3264"/>
          </w:tcPr>
          <w:p>
            <w:r/>
            <w:r>
              <w:rPr>
                <w:rFonts w:ascii="DM Sans" w:hAnsi="DM Sans"/>
                <w:b w:val="0"/>
                <w:color w:val="222222"/>
                <w:sz w:val="20"/>
              </w:rPr>
              <w:t>React 18 · Vite · Recharts · TypeScript</w:t>
            </w:r>
          </w:p>
        </w:tc>
        <w:tc>
          <w:tcPr>
            <w:tcW w:type="dxa" w:w="3264"/>
          </w:tcPr>
          <w:p>
            <w:r/>
            <w:r>
              <w:rPr>
                <w:rFonts w:ascii="DM Sans" w:hAnsi="DM Sans"/>
                <w:b w:val="0"/>
                <w:color w:val="222222"/>
                <w:sz w:val="20"/>
              </w:rPr>
              <w:t>Cohort filter sidebar, group chart, policy look-up, narrative UI</w:t>
            </w:r>
          </w:p>
        </w:tc>
      </w:tr>
      <w:tr>
        <w:tc>
          <w:tcPr>
            <w:tcW w:type="dxa" w:w="3264"/>
          </w:tcPr>
          <w:p>
            <w:r/>
            <w:r>
              <w:rPr>
                <w:rFonts w:ascii="DM Sans" w:hAnsi="DM Sans"/>
                <w:b w:val="0"/>
                <w:color w:val="222222"/>
                <w:sz w:val="20"/>
              </w:rPr>
              <w:t>DataRobot</w:t>
            </w:r>
          </w:p>
        </w:tc>
        <w:tc>
          <w:tcPr>
            <w:tcW w:type="dxa" w:w="3264"/>
          </w:tcPr>
          <w:p>
            <w:r/>
            <w:r>
              <w:rPr>
                <w:rFonts w:ascii="DM Sans" w:hAnsi="DM Sans"/>
                <w:b w:val="0"/>
                <w:color w:val="222222"/>
                <w:sz w:val="20"/>
              </w:rPr>
              <w:t>DataRobot EU (app.eu.datarobot.com)</w:t>
            </w:r>
          </w:p>
        </w:tc>
        <w:tc>
          <w:tcPr>
            <w:tcW w:type="dxa" w:w="3264"/>
          </w:tcPr>
          <w:p>
            <w:r/>
            <w:r>
              <w:rPr>
                <w:rFonts w:ascii="DM Sans" w:hAnsi="DM Sans"/>
                <w:b w:val="0"/>
                <w:color w:val="222222"/>
                <w:sz w:val="20"/>
              </w:rPr>
              <w:t>Prediction Explanations source, LLM Gateway</w:t>
            </w:r>
          </w:p>
        </w:tc>
      </w:tr>
      <w:tr>
        <w:tc>
          <w:tcPr>
            <w:tcW w:type="dxa" w:w="3264"/>
          </w:tcPr>
          <w:p>
            <w:r/>
            <w:r>
              <w:rPr>
                <w:rFonts w:ascii="DM Sans" w:hAnsi="DM Sans"/>
                <w:b w:val="0"/>
                <w:color w:val="222222"/>
                <w:sz w:val="20"/>
              </w:rPr>
              <w:t>SQL export</w:t>
            </w:r>
          </w:p>
        </w:tc>
        <w:tc>
          <w:tcPr>
            <w:tcW w:type="dxa" w:w="3264"/>
          </w:tcPr>
          <w:p>
            <w:r/>
            <w:r>
              <w:rPr>
                <w:rFonts w:ascii="DM Sans" w:hAnsi="DM Sans"/>
                <w:b w:val="0"/>
                <w:color w:val="222222"/>
                <w:sz w:val="20"/>
              </w:rPr>
              <w:t>SQLAlchemy · pyodbc · SQL Server</w:t>
            </w:r>
          </w:p>
        </w:tc>
        <w:tc>
          <w:tcPr>
            <w:tcW w:type="dxa" w:w="3264"/>
          </w:tcPr>
          <w:p>
            <w:r/>
            <w:r>
              <w:rPr>
                <w:rFonts w:ascii="DM Sans" w:hAnsi="DM Sans"/>
                <w:b w:val="0"/>
                <w:color w:val="222222"/>
                <w:sz w:val="20"/>
              </w:rPr>
              <w:t>Power BI flat-table export (optional)</w:t>
            </w:r>
          </w:p>
        </w:tc>
      </w:tr>
    </w:tbl>
    <w:p/>
    <w:p>
      <w:pPr>
        <w:spacing w:after="120"/>
      </w:pPr>
      <w:r>
        <w:rPr>
          <w:rFonts w:ascii="DM Sans" w:hAnsi="DM Sans"/>
          <w:b w:val="0"/>
          <w:color w:val="222222"/>
          <w:sz w:val="22"/>
        </w:rPr>
        <w:t>On startup the backend uploads the scoring dataset to the project, requests predictions, initialises Prediction Explanations, and loads the results into memory. A local cache (.prediction_dataset_cache.json) skips the upload step on subsequent restarts.</w:t>
      </w:r>
    </w:p>
    <w:p>
      <w:pPr>
        <w:spacing w:before="280" w:after="80"/>
        <w:pBdr>
          <w:bottom w:val="single" w:sz="6" w:space="4" w:color="81FBA5"/>
        </w:pBdr>
      </w:pPr>
      <w:r>
        <w:rPr>
          <w:rFonts w:ascii="DM Sans" w:hAnsi="DM Sans"/>
          <w:b/>
          <w:color w:val="0B0B0B"/>
          <w:sz w:val="32"/>
        </w:rPr>
        <w:t>2. Prerequisites</w:t>
      </w:r>
    </w:p>
    <w:p>
      <w:pPr>
        <w:spacing w:before="200" w:after="40"/>
      </w:pPr>
      <w:r>
        <w:rPr>
          <w:rFonts w:ascii="DM Sans" w:hAnsi="DM Sans"/>
          <w:b/>
          <w:color w:val="0B0B0B"/>
          <w:sz w:val="26"/>
        </w:rPr>
        <w:t>2.1 Python environment</w:t>
      </w:r>
    </w:p>
    <w:p>
      <w:pPr>
        <w:pStyle w:val="ListBullet"/>
        <w:spacing w:after="60"/>
        <w:ind w:left="360"/>
      </w:pPr>
      <w:r>
        <w:rPr>
          <w:rFonts w:ascii="DM Sans" w:hAnsi="DM Sans"/>
          <w:b w:val="0"/>
          <w:color w:val="222222"/>
          <w:sz w:val="22"/>
        </w:rPr>
        <w:t>Python 3.11 or later</w:t>
      </w:r>
    </w:p>
    <w:p>
      <w:pPr>
        <w:pStyle w:val="ListBullet"/>
        <w:spacing w:after="60"/>
        <w:ind w:left="360"/>
      </w:pPr>
      <w:r>
        <w:rPr>
          <w:rFonts w:ascii="DM Sans" w:hAnsi="DM Sans"/>
          <w:b w:val="0"/>
          <w:color w:val="222222"/>
          <w:sz w:val="22"/>
        </w:rPr>
        <w:t>pip install -r requirements.txt   (from project root)</w:t>
      </w:r>
    </w:p>
    <w:p>
      <w:pPr>
        <w:pStyle w:val="ListBullet"/>
        <w:spacing w:after="60"/>
        <w:ind w:left="360"/>
      </w:pPr>
      <w:r>
        <w:rPr>
          <w:rFonts w:ascii="DM Sans" w:hAnsi="DM Sans"/>
          <w:b w:val="0"/>
          <w:color w:val="222222"/>
          <w:sz w:val="22"/>
        </w:rPr>
        <w:t>ODBC Driver 17 for SQL Server — only required for the SQL export script</w:t>
      </w:r>
    </w:p>
    <w:p>
      <w:pPr>
        <w:spacing w:before="200" w:after="40"/>
      </w:pPr>
      <w:r>
        <w:rPr>
          <w:rFonts w:ascii="DM Sans" w:hAnsi="DM Sans"/>
          <w:b/>
          <w:color w:val="0B0B0B"/>
          <w:sz w:val="26"/>
        </w:rPr>
        <w:t>2.2 DataRobot access</w:t>
      </w:r>
    </w:p>
    <w:p>
      <w:pPr>
        <w:pStyle w:val="ListBullet"/>
        <w:spacing w:after="60"/>
        <w:ind w:left="360"/>
      </w:pPr>
      <w:r>
        <w:rPr>
          <w:rFonts w:ascii="DM Sans" w:hAnsi="DM Sans"/>
          <w:b w:val="0"/>
          <w:color w:val="222222"/>
          <w:sz w:val="22"/>
        </w:rPr>
        <w:t>DataRobot EU account with access to project 6a22f2218f74af009899ddb1</w:t>
      </w:r>
    </w:p>
    <w:p>
      <w:pPr>
        <w:pStyle w:val="ListBullet"/>
        <w:spacing w:after="60"/>
        <w:ind w:left="360"/>
      </w:pPr>
      <w:r>
        <w:rPr>
          <w:rFonts w:ascii="DM Sans" w:hAnsi="DM Sans"/>
          <w:b w:val="0"/>
          <w:color w:val="222222"/>
          <w:sz w:val="22"/>
        </w:rPr>
        <w:t>API token with read access to Projects, Datasets, Deployments, and LLM Gateway</w:t>
      </w:r>
    </w:p>
    <w:p>
      <w:pPr>
        <w:pStyle w:val="ListBullet"/>
        <w:spacing w:after="60"/>
        <w:ind w:left="360"/>
      </w:pPr>
      <w:r>
        <w:rPr>
          <w:rFonts w:ascii="DM Sans" w:hAnsi="DM Sans"/>
          <w:b w:val="0"/>
          <w:color w:val="222222"/>
          <w:sz w:val="22"/>
        </w:rPr>
        <w:t>The scoring dataset (ID 6a2275eb326d5530a77a0b30) must be in the AI Catalog</w:t>
      </w:r>
    </w:p>
    <w:p>
      <w:pPr>
        <w:spacing w:before="200" w:after="40"/>
      </w:pPr>
      <w:r>
        <w:rPr>
          <w:rFonts w:ascii="DM Sans" w:hAnsi="DM Sans"/>
          <w:b/>
          <w:color w:val="0B0B0B"/>
          <w:sz w:val="26"/>
        </w:rPr>
        <w:t>2.3 Node.js (frontend only)</w:t>
      </w:r>
    </w:p>
    <w:p>
      <w:pPr>
        <w:pStyle w:val="ListBullet"/>
        <w:spacing w:after="60"/>
        <w:ind w:left="360"/>
      </w:pPr>
      <w:r>
        <w:rPr>
          <w:rFonts w:ascii="DM Sans" w:hAnsi="DM Sans"/>
          <w:b w:val="0"/>
          <w:color w:val="222222"/>
          <w:sz w:val="22"/>
        </w:rPr>
        <w:t>Node.js 18 or later and npm</w:t>
      </w:r>
    </w:p>
    <w:p>
      <w:pPr>
        <w:spacing w:before="280" w:after="80"/>
        <w:pBdr>
          <w:bottom w:val="single" w:sz="6" w:space="4" w:color="81FBA5"/>
        </w:pBdr>
      </w:pPr>
      <w:r>
        <w:rPr>
          <w:rFonts w:ascii="DM Sans" w:hAnsi="DM Sans"/>
          <w:b/>
          <w:color w:val="0B0B0B"/>
          <w:sz w:val="32"/>
        </w:rPr>
        <w:t>3. Configuration</w:t>
      </w:r>
    </w:p>
    <w:p>
      <w:pPr>
        <w:spacing w:after="120"/>
      </w:pPr>
      <w:r>
        <w:rPr>
          <w:rFonts w:ascii="DM Sans" w:hAnsi="DM Sans"/>
          <w:b w:val="0"/>
          <w:color w:val="222222"/>
          <w:sz w:val="22"/>
        </w:rPr>
        <w:t>Copy .env.example to .env in the project root and fill in the required values. The backend reads this file via pydantic-settings; all keys are case-insensitive.</w:t>
      </w:r>
    </w:p>
    <w:p>
      <w:pPr>
        <w:spacing w:before="200" w:after="40"/>
      </w:pPr>
      <w:r>
        <w:rPr>
          <w:rFonts w:ascii="DM Sans" w:hAnsi="DM Sans"/>
          <w:b/>
          <w:color w:val="0B0B0B"/>
          <w:sz w:val="26"/>
        </w:rPr>
        <w:t>3.1 Required keys</w:t>
      </w:r>
    </w:p>
    <w:tbl>
      <w:tblPr>
        <w:tblStyle w:val="TableGrid"/>
        <w:tblW w:type="auto" w:w="0"/>
        <w:tblLook w:firstColumn="1" w:firstRow="1" w:lastColumn="0" w:lastRow="0" w:noHBand="0" w:noVBand="1" w:val="04A0"/>
      </w:tblPr>
      <w:tblGrid>
        <w:gridCol w:w="3264"/>
        <w:gridCol w:w="3264"/>
        <w:gridCol w:w="3264"/>
      </w:tblGrid>
      <w:tr>
        <w:tc>
          <w:tcPr>
            <w:tcW w:type="dxa" w:w="3264"/>
          </w:tcPr>
          <w:p/>
        </w:tc>
        <w:tc>
          <w:tcPr>
            <w:tcW w:type="dxa" w:w="3264"/>
          </w:tcPr>
          <w:p/>
        </w:tc>
        <w:tc>
          <w:tcPr>
            <w:tcW w:type="dxa" w:w="3264"/>
          </w:tcPr>
          <w:p/>
        </w:tc>
      </w:tr>
      <w:tr>
        <w:tc>
          <w:tcPr>
            <w:tcW w:type="dxa" w:w="3264"/>
            <w:shd w:val="clear" w:color="auto" w:fill="81FBA5"/>
          </w:tcPr>
          <w:p>
            <w:r/>
            <w:r>
              <w:rPr>
                <w:rFonts w:ascii="DM Sans" w:hAnsi="DM Sans"/>
                <w:b/>
                <w:color w:val="0B0B0B"/>
                <w:sz w:val="20"/>
              </w:rPr>
              <w:t>Key</w:t>
            </w:r>
          </w:p>
        </w:tc>
        <w:tc>
          <w:tcPr>
            <w:tcW w:type="dxa" w:w="3264"/>
            <w:shd w:val="clear" w:color="auto" w:fill="81FBA5"/>
          </w:tcPr>
          <w:p>
            <w:r/>
            <w:r>
              <w:rPr>
                <w:rFonts w:ascii="DM Sans" w:hAnsi="DM Sans"/>
                <w:b/>
                <w:color w:val="0B0B0B"/>
                <w:sz w:val="20"/>
              </w:rPr>
              <w:t>Example value</w:t>
            </w:r>
          </w:p>
        </w:tc>
        <w:tc>
          <w:tcPr>
            <w:tcW w:type="dxa" w:w="3264"/>
            <w:shd w:val="clear" w:color="auto" w:fill="81FBA5"/>
          </w:tcPr>
          <w:p>
            <w:r/>
            <w:r>
              <w:rPr>
                <w:rFonts w:ascii="DM Sans" w:hAnsi="DM Sans"/>
                <w:b/>
                <w:color w:val="0B0B0B"/>
                <w:sz w:val="20"/>
              </w:rPr>
              <w:t>Description</w:t>
            </w:r>
          </w:p>
        </w:tc>
      </w:tr>
      <w:tr>
        <w:tc>
          <w:tcPr>
            <w:tcW w:type="dxa" w:w="3264"/>
          </w:tcPr>
          <w:p>
            <w:r/>
            <w:r>
              <w:rPr>
                <w:rFonts w:ascii="DM Sans" w:hAnsi="DM Sans"/>
                <w:b w:val="0"/>
                <w:color w:val="222222"/>
                <w:sz w:val="20"/>
              </w:rPr>
              <w:t>DATAROBOT_API_TOKEN</w:t>
            </w:r>
          </w:p>
        </w:tc>
        <w:tc>
          <w:tcPr>
            <w:tcW w:type="dxa" w:w="3264"/>
          </w:tcPr>
          <w:p>
            <w:r/>
            <w:r>
              <w:rPr>
                <w:rFonts w:ascii="DM Sans" w:hAnsi="DM Sans"/>
                <w:b w:val="0"/>
                <w:color w:val="222222"/>
                <w:sz w:val="20"/>
              </w:rPr>
              <w:t>abc123…</w:t>
            </w:r>
          </w:p>
        </w:tc>
        <w:tc>
          <w:tcPr>
            <w:tcW w:type="dxa" w:w="3264"/>
          </w:tcPr>
          <w:p>
            <w:r/>
            <w:r>
              <w:rPr>
                <w:rFonts w:ascii="DM Sans" w:hAnsi="DM Sans"/>
                <w:b w:val="0"/>
                <w:color w:val="222222"/>
                <w:sz w:val="20"/>
              </w:rPr>
              <w:t>DataRobot personal API token</w:t>
            </w:r>
          </w:p>
        </w:tc>
      </w:tr>
      <w:tr>
        <w:tc>
          <w:tcPr>
            <w:tcW w:type="dxa" w:w="3264"/>
          </w:tcPr>
          <w:p>
            <w:r/>
            <w:r>
              <w:rPr>
                <w:rFonts w:ascii="DM Sans" w:hAnsi="DM Sans"/>
                <w:b w:val="0"/>
                <w:color w:val="222222"/>
                <w:sz w:val="20"/>
              </w:rPr>
              <w:t>DATAROBOT_ENDPOINT</w:t>
            </w:r>
          </w:p>
        </w:tc>
        <w:tc>
          <w:tcPr>
            <w:tcW w:type="dxa" w:w="3264"/>
          </w:tcPr>
          <w:p>
            <w:r/>
            <w:r>
              <w:rPr>
                <w:rFonts w:ascii="DM Sans" w:hAnsi="DM Sans"/>
                <w:b w:val="0"/>
                <w:color w:val="222222"/>
                <w:sz w:val="20"/>
              </w:rPr>
              <w:t>https://app.eu.datarobot.com/api/v2</w:t>
            </w:r>
          </w:p>
        </w:tc>
        <w:tc>
          <w:tcPr>
            <w:tcW w:type="dxa" w:w="3264"/>
          </w:tcPr>
          <w:p>
            <w:r/>
            <w:r>
              <w:rPr>
                <w:rFonts w:ascii="DM Sans" w:hAnsi="DM Sans"/>
                <w:b w:val="0"/>
                <w:color w:val="222222"/>
                <w:sz w:val="20"/>
              </w:rPr>
              <w:t>DataRobot EU REST endpoint</w:t>
            </w:r>
          </w:p>
        </w:tc>
      </w:tr>
    </w:tbl>
    <w:p/>
    <w:p>
      <w:pPr>
        <w:spacing w:before="200" w:after="40"/>
      </w:pPr>
      <w:r>
        <w:rPr>
          <w:rFonts w:ascii="DM Sans" w:hAnsi="DM Sans"/>
          <w:b/>
          <w:color w:val="0B0B0B"/>
          <w:sz w:val="26"/>
        </w:rPr>
        <w:t>3.2 Optional keys</w:t>
      </w:r>
    </w:p>
    <w:tbl>
      <w:tblPr>
        <w:tblStyle w:val="TableGrid"/>
        <w:tblW w:type="auto" w:w="0"/>
        <w:tblLook w:firstColumn="1" w:firstRow="1" w:lastColumn="0" w:lastRow="0" w:noHBand="0" w:noVBand="1" w:val="04A0"/>
      </w:tblPr>
      <w:tblGrid>
        <w:gridCol w:w="3264"/>
        <w:gridCol w:w="3264"/>
        <w:gridCol w:w="3264"/>
      </w:tblGrid>
      <w:tr>
        <w:tc>
          <w:tcPr>
            <w:tcW w:type="dxa" w:w="3264"/>
          </w:tcPr>
          <w:p/>
        </w:tc>
        <w:tc>
          <w:tcPr>
            <w:tcW w:type="dxa" w:w="3264"/>
          </w:tcPr>
          <w:p/>
        </w:tc>
        <w:tc>
          <w:tcPr>
            <w:tcW w:type="dxa" w:w="3264"/>
          </w:tcPr>
          <w:p/>
        </w:tc>
      </w:tr>
      <w:tr>
        <w:tc>
          <w:tcPr>
            <w:tcW w:type="dxa" w:w="3264"/>
            <w:shd w:val="clear" w:color="auto" w:fill="81FBA5"/>
          </w:tcPr>
          <w:p>
            <w:r/>
            <w:r>
              <w:rPr>
                <w:rFonts w:ascii="DM Sans" w:hAnsi="DM Sans"/>
                <w:b/>
                <w:color w:val="0B0B0B"/>
                <w:sz w:val="20"/>
              </w:rPr>
              <w:t>Key</w:t>
            </w:r>
          </w:p>
        </w:tc>
        <w:tc>
          <w:tcPr>
            <w:tcW w:type="dxa" w:w="3264"/>
            <w:shd w:val="clear" w:color="auto" w:fill="81FBA5"/>
          </w:tcPr>
          <w:p>
            <w:r/>
            <w:r>
              <w:rPr>
                <w:rFonts w:ascii="DM Sans" w:hAnsi="DM Sans"/>
                <w:b/>
                <w:color w:val="0B0B0B"/>
                <w:sz w:val="20"/>
              </w:rPr>
              <w:t>Example value</w:t>
            </w:r>
          </w:p>
        </w:tc>
        <w:tc>
          <w:tcPr>
            <w:tcW w:type="dxa" w:w="3264"/>
            <w:shd w:val="clear" w:color="auto" w:fill="81FBA5"/>
          </w:tcPr>
          <w:p>
            <w:r/>
            <w:r>
              <w:rPr>
                <w:rFonts w:ascii="DM Sans" w:hAnsi="DM Sans"/>
                <w:b/>
                <w:color w:val="0B0B0B"/>
                <w:sz w:val="20"/>
              </w:rPr>
              <w:t>Description</w:t>
            </w:r>
          </w:p>
        </w:tc>
      </w:tr>
      <w:tr>
        <w:tc>
          <w:tcPr>
            <w:tcW w:type="dxa" w:w="3264"/>
          </w:tcPr>
          <w:p>
            <w:r/>
            <w:r>
              <w:rPr>
                <w:rFonts w:ascii="DM Sans" w:hAnsi="DM Sans"/>
                <w:b w:val="0"/>
                <w:color w:val="222222"/>
                <w:sz w:val="20"/>
              </w:rPr>
              <w:t>DR_GATEWAY_MODEL</w:t>
            </w:r>
          </w:p>
        </w:tc>
        <w:tc>
          <w:tcPr>
            <w:tcW w:type="dxa" w:w="3264"/>
          </w:tcPr>
          <w:p>
            <w:r/>
            <w:r>
              <w:rPr>
                <w:rFonts w:ascii="DM Sans" w:hAnsi="DM Sans"/>
                <w:b w:val="0"/>
                <w:color w:val="222222"/>
                <w:sz w:val="20"/>
              </w:rPr>
              <w:t>azure/gpt-4o-mini</w:t>
            </w:r>
          </w:p>
        </w:tc>
        <w:tc>
          <w:tcPr>
            <w:tcW w:type="dxa" w:w="3264"/>
          </w:tcPr>
          <w:p>
            <w:r/>
            <w:r>
              <w:rPr>
                <w:rFonts w:ascii="DM Sans" w:hAnsi="DM Sans"/>
                <w:b w:val="0"/>
                <w:color w:val="222222"/>
                <w:sz w:val="20"/>
              </w:rPr>
              <w:t>LLM Gateway model ID (see Section 5)</w:t>
            </w:r>
          </w:p>
        </w:tc>
      </w:tr>
      <w:tr>
        <w:tc>
          <w:tcPr>
            <w:tcW w:type="dxa" w:w="3264"/>
          </w:tcPr>
          <w:p>
            <w:r/>
            <w:r>
              <w:rPr>
                <w:rFonts w:ascii="DM Sans" w:hAnsi="DM Sans"/>
                <w:b w:val="0"/>
                <w:color w:val="222222"/>
                <w:sz w:val="20"/>
              </w:rPr>
              <w:t>DR_LLM_DEPLOYMENT_ID</w:t>
            </w:r>
          </w:p>
        </w:tc>
        <w:tc>
          <w:tcPr>
            <w:tcW w:type="dxa" w:w="3264"/>
          </w:tcPr>
          <w:p>
            <w:r/>
            <w:r>
              <w:rPr>
                <w:rFonts w:ascii="DM Sans" w:hAnsi="DM Sans"/>
                <w:b w:val="0"/>
                <w:color w:val="222222"/>
                <w:sz w:val="20"/>
              </w:rPr>
              <w:t>&lt;deployment id&gt;</w:t>
            </w:r>
          </w:p>
        </w:tc>
        <w:tc>
          <w:tcPr>
            <w:tcW w:type="dxa" w:w="3264"/>
          </w:tcPr>
          <w:p>
            <w:r/>
            <w:r>
              <w:rPr>
                <w:rFonts w:ascii="DM Sans" w:hAnsi="DM Sans"/>
                <w:b w:val="0"/>
                <w:color w:val="222222"/>
                <w:sz w:val="20"/>
              </w:rPr>
              <w:t>DataRobot deployed TextGen model</w:t>
            </w:r>
          </w:p>
        </w:tc>
      </w:tr>
      <w:tr>
        <w:tc>
          <w:tcPr>
            <w:tcW w:type="dxa" w:w="3264"/>
          </w:tcPr>
          <w:p>
            <w:r/>
            <w:r>
              <w:rPr>
                <w:rFonts w:ascii="DM Sans" w:hAnsi="DM Sans"/>
                <w:b w:val="0"/>
                <w:color w:val="222222"/>
                <w:sz w:val="20"/>
              </w:rPr>
              <w:t>AZURE_OPENAI_API_KEY</w:t>
            </w:r>
          </w:p>
        </w:tc>
        <w:tc>
          <w:tcPr>
            <w:tcW w:type="dxa" w:w="3264"/>
          </w:tcPr>
          <w:p>
            <w:r/>
            <w:r>
              <w:rPr>
                <w:rFonts w:ascii="DM Sans" w:hAnsi="DM Sans"/>
                <w:b w:val="0"/>
                <w:color w:val="222222"/>
                <w:sz w:val="20"/>
              </w:rPr>
              <w:t>&lt;key&gt;</w:t>
            </w:r>
          </w:p>
        </w:tc>
        <w:tc>
          <w:tcPr>
            <w:tcW w:type="dxa" w:w="3264"/>
          </w:tcPr>
          <w:p>
            <w:r/>
            <w:r>
              <w:rPr>
                <w:rFonts w:ascii="DM Sans" w:hAnsi="DM Sans"/>
                <w:b w:val="0"/>
                <w:color w:val="222222"/>
                <w:sz w:val="20"/>
              </w:rPr>
              <w:t>Azure OpenAI key</w:t>
            </w:r>
          </w:p>
        </w:tc>
      </w:tr>
      <w:tr>
        <w:tc>
          <w:tcPr>
            <w:tcW w:type="dxa" w:w="3264"/>
          </w:tcPr>
          <w:p>
            <w:r/>
            <w:r>
              <w:rPr>
                <w:rFonts w:ascii="DM Sans" w:hAnsi="DM Sans"/>
                <w:b w:val="0"/>
                <w:color w:val="222222"/>
                <w:sz w:val="20"/>
              </w:rPr>
              <w:t>AZURE_OPENAI_API_BASE</w:t>
            </w:r>
          </w:p>
        </w:tc>
        <w:tc>
          <w:tcPr>
            <w:tcW w:type="dxa" w:w="3264"/>
          </w:tcPr>
          <w:p>
            <w:r/>
            <w:r>
              <w:rPr>
                <w:rFonts w:ascii="DM Sans" w:hAnsi="DM Sans"/>
                <w:b w:val="0"/>
                <w:color w:val="222222"/>
                <w:sz w:val="20"/>
              </w:rPr>
              <w:t>https://…openai.azure.com/</w:t>
            </w:r>
          </w:p>
        </w:tc>
        <w:tc>
          <w:tcPr>
            <w:tcW w:type="dxa" w:w="3264"/>
          </w:tcPr>
          <w:p>
            <w:r/>
            <w:r>
              <w:rPr>
                <w:rFonts w:ascii="DM Sans" w:hAnsi="DM Sans"/>
                <w:b w:val="0"/>
                <w:color w:val="222222"/>
                <w:sz w:val="20"/>
              </w:rPr>
              <w:t>Azure OpenAI endpoint</w:t>
            </w:r>
          </w:p>
        </w:tc>
      </w:tr>
      <w:tr>
        <w:tc>
          <w:tcPr>
            <w:tcW w:type="dxa" w:w="3264"/>
          </w:tcPr>
          <w:p>
            <w:r/>
            <w:r>
              <w:rPr>
                <w:rFonts w:ascii="DM Sans" w:hAnsi="DM Sans"/>
                <w:b w:val="0"/>
                <w:color w:val="222222"/>
                <w:sz w:val="20"/>
              </w:rPr>
              <w:t>AZURE_OPENAI_DEPLOYMENT_NAME</w:t>
            </w:r>
          </w:p>
        </w:tc>
        <w:tc>
          <w:tcPr>
            <w:tcW w:type="dxa" w:w="3264"/>
          </w:tcPr>
          <w:p>
            <w:r/>
            <w:r>
              <w:rPr>
                <w:rFonts w:ascii="DM Sans" w:hAnsi="DM Sans"/>
                <w:b w:val="0"/>
                <w:color w:val="222222"/>
                <w:sz w:val="20"/>
              </w:rPr>
              <w:t>gpt-4o</w:t>
            </w:r>
          </w:p>
        </w:tc>
        <w:tc>
          <w:tcPr>
            <w:tcW w:type="dxa" w:w="3264"/>
          </w:tcPr>
          <w:p>
            <w:r/>
            <w:r>
              <w:rPr>
                <w:rFonts w:ascii="DM Sans" w:hAnsi="DM Sans"/>
                <w:b w:val="0"/>
                <w:color w:val="222222"/>
                <w:sz w:val="20"/>
              </w:rPr>
              <w:t>Azure deployment name</w:t>
            </w:r>
          </w:p>
        </w:tc>
      </w:tr>
      <w:tr>
        <w:tc>
          <w:tcPr>
            <w:tcW w:type="dxa" w:w="3264"/>
          </w:tcPr>
          <w:p>
            <w:r/>
            <w:r>
              <w:rPr>
                <w:rFonts w:ascii="DM Sans" w:hAnsi="DM Sans"/>
                <w:b w:val="0"/>
                <w:color w:val="222222"/>
                <w:sz w:val="20"/>
              </w:rPr>
              <w:t>ANTHROPIC_API_KEY</w:t>
            </w:r>
          </w:p>
        </w:tc>
        <w:tc>
          <w:tcPr>
            <w:tcW w:type="dxa" w:w="3264"/>
          </w:tcPr>
          <w:p>
            <w:r/>
            <w:r>
              <w:rPr>
                <w:rFonts w:ascii="DM Sans" w:hAnsi="DM Sans"/>
                <w:b w:val="0"/>
                <w:color w:val="222222"/>
                <w:sz w:val="20"/>
              </w:rPr>
              <w:t>&lt;key&gt;</w:t>
            </w:r>
          </w:p>
        </w:tc>
        <w:tc>
          <w:tcPr>
            <w:tcW w:type="dxa" w:w="3264"/>
          </w:tcPr>
          <w:p>
            <w:r/>
            <w:r>
              <w:rPr>
                <w:rFonts w:ascii="DM Sans" w:hAnsi="DM Sans"/>
                <w:b w:val="0"/>
                <w:color w:val="222222"/>
                <w:sz w:val="20"/>
              </w:rPr>
              <w:t>Anthropic direct API key</w:t>
            </w:r>
          </w:p>
        </w:tc>
      </w:tr>
      <w:tr>
        <w:tc>
          <w:tcPr>
            <w:tcW w:type="dxa" w:w="3264"/>
          </w:tcPr>
          <w:p>
            <w:r/>
            <w:r>
              <w:rPr>
                <w:rFonts w:ascii="DM Sans" w:hAnsi="DM Sans"/>
                <w:b w:val="0"/>
                <w:color w:val="222222"/>
                <w:sz w:val="20"/>
              </w:rPr>
              <w:t>SQL_CONNECTION_STRING</w:t>
            </w:r>
          </w:p>
        </w:tc>
        <w:tc>
          <w:tcPr>
            <w:tcW w:type="dxa" w:w="3264"/>
          </w:tcPr>
          <w:p>
            <w:r/>
            <w:r>
              <w:rPr>
                <w:rFonts w:ascii="DM Sans" w:hAnsi="DM Sans"/>
                <w:b w:val="0"/>
                <w:color w:val="222222"/>
                <w:sz w:val="20"/>
              </w:rPr>
              <w:t>mssql+pyodbc://…</w:t>
            </w:r>
          </w:p>
        </w:tc>
        <w:tc>
          <w:tcPr>
            <w:tcW w:type="dxa" w:w="3264"/>
          </w:tcPr>
          <w:p>
            <w:r/>
            <w:r>
              <w:rPr>
                <w:rFonts w:ascii="DM Sans" w:hAnsi="DM Sans"/>
                <w:b w:val="0"/>
                <w:color w:val="222222"/>
                <w:sz w:val="20"/>
              </w:rPr>
              <w:t>SQL Server connection (export only)</w:t>
            </w:r>
          </w:p>
        </w:tc>
      </w:tr>
      <w:tr>
        <w:tc>
          <w:tcPr>
            <w:tcW w:type="dxa" w:w="3264"/>
          </w:tcPr>
          <w:p>
            <w:r/>
            <w:r>
              <w:rPr>
                <w:rFonts w:ascii="DM Sans" w:hAnsi="DM Sans"/>
                <w:b w:val="0"/>
                <w:color w:val="222222"/>
                <w:sz w:val="20"/>
              </w:rPr>
              <w:t>TRAINING_EXCEL_PATH</w:t>
            </w:r>
          </w:p>
        </w:tc>
        <w:tc>
          <w:tcPr>
            <w:tcW w:type="dxa" w:w="3264"/>
          </w:tcPr>
          <w:p>
            <w:r/>
            <w:r>
              <w:rPr>
                <w:rFonts w:ascii="DM Sans" w:hAnsi="DM Sans"/>
                <w:b w:val="0"/>
                <w:color w:val="222222"/>
                <w:sz w:val="20"/>
              </w:rPr>
              <w:t>data/Training.xlsx</w:t>
            </w:r>
          </w:p>
        </w:tc>
        <w:tc>
          <w:tcPr>
            <w:tcW w:type="dxa" w:w="3264"/>
          </w:tcPr>
          <w:p>
            <w:r/>
            <w:r>
              <w:rPr>
                <w:rFonts w:ascii="DM Sans" w:hAnsi="DM Sans"/>
                <w:b w:val="0"/>
                <w:color w:val="222222"/>
                <w:sz w:val="20"/>
              </w:rPr>
              <w:t>Adds Lapse_ind labels to export</w:t>
            </w:r>
          </w:p>
        </w:tc>
      </w:tr>
    </w:tbl>
    <w:p>
      <w:pPr>
        <w:spacing w:before="280" w:after="80"/>
        <w:pBdr>
          <w:bottom w:val="single" w:sz="6" w:space="4" w:color="81FBA5"/>
        </w:pBdr>
      </w:pPr>
      <w:r>
        <w:rPr>
          <w:rFonts w:ascii="DM Sans" w:hAnsi="DM Sans"/>
          <w:b/>
          <w:color w:val="0B0B0B"/>
          <w:sz w:val="32"/>
        </w:rPr>
        <w:t>4. Starting the Application</w:t>
      </w:r>
    </w:p>
    <w:p>
      <w:pPr>
        <w:spacing w:before="200" w:after="40"/>
      </w:pPr>
      <w:r>
        <w:rPr>
          <w:rFonts w:ascii="DM Sans" w:hAnsi="DM Sans"/>
          <w:b/>
          <w:color w:val="0B0B0B"/>
          <w:sz w:val="26"/>
        </w:rPr>
        <w:t>4.1 Backend</w:t>
      </w:r>
    </w:p>
    <w:p>
      <w:pPr>
        <w:spacing w:after="120"/>
      </w:pPr>
      <w:r>
        <w:rPr>
          <w:rFonts w:ascii="DM Sans" w:hAnsi="DM Sans"/>
          <w:b w:val="0"/>
          <w:color w:val="222222"/>
          <w:sz w:val="22"/>
        </w:rPr>
        <w:t>From the project root:</w:t>
      </w:r>
    </w:p>
    <w:p>
      <w:pPr>
        <w:spacing w:after="0"/>
        <w:ind w:left="432"/>
        <w:shd w:val="clear" w:color="auto" w:fill="F4F4F4"/>
      </w:pPr>
      <w:r>
        <w:rPr>
          <w:rFonts w:ascii="Courier New" w:hAnsi="Courier New"/>
          <w:b w:val="0"/>
          <w:color w:val="1A1A1A"/>
          <w:sz w:val="18"/>
        </w:rPr>
        <w:t>cd backend</w:t>
      </w:r>
    </w:p>
    <w:p>
      <w:pPr>
        <w:spacing w:after="0"/>
        <w:ind w:left="432"/>
        <w:shd w:val="clear" w:color="auto" w:fill="F4F4F4"/>
      </w:pPr>
      <w:r>
        <w:rPr>
          <w:rFonts w:ascii="Courier New" w:hAnsi="Courier New"/>
          <w:b w:val="0"/>
          <w:color w:val="1A1A1A"/>
          <w:sz w:val="18"/>
        </w:rPr>
        <w:t>source ../.venv/bin/activate        # or .venv\Scripts\activate on Windows</w:t>
      </w:r>
    </w:p>
    <w:p>
      <w:pPr>
        <w:spacing w:after="0"/>
        <w:ind w:left="432"/>
        <w:shd w:val="clear" w:color="auto" w:fill="F4F4F4"/>
      </w:pPr>
      <w:r>
        <w:rPr>
          <w:rFonts w:ascii="Courier New" w:hAnsi="Courier New"/>
          <w:b w:val="0"/>
          <w:color w:val="1A1A1A"/>
          <w:sz w:val="18"/>
        </w:rPr>
        <w:t>uvicorn main:app --reload --port 8000</w:t>
      </w:r>
    </w:p>
    <w:p>
      <w:pPr>
        <w:spacing w:after="120"/>
      </w:pPr>
      <w:r>
        <w:rPr>
          <w:rFonts w:ascii="DM Sans" w:hAnsi="DM Sans"/>
          <w:b w:val="0"/>
          <w:color w:val="222222"/>
          <w:sz w:val="22"/>
        </w:rPr>
        <w:t>First startup takes 2–5 minutes while the prediction dataset is uploaded and Prediction Explanations are computed. Progress is logged to the terminal. Subsequent starts are fast — the dataset ID is cached in .prediction_dataset_cache.json.</w:t>
      </w:r>
    </w:p>
    <w:p>
      <w:pPr>
        <w:spacing w:before="200" w:after="40"/>
      </w:pPr>
      <w:r>
        <w:rPr>
          <w:rFonts w:ascii="DM Sans" w:hAnsi="DM Sans"/>
          <w:b/>
          <w:color w:val="0B0B0B"/>
          <w:sz w:val="26"/>
        </w:rPr>
        <w:t>4.2 Frontend</w:t>
      </w:r>
    </w:p>
    <w:p>
      <w:pPr>
        <w:spacing w:after="0"/>
        <w:ind w:left="432"/>
        <w:shd w:val="clear" w:color="auto" w:fill="F4F4F4"/>
      </w:pPr>
      <w:r>
        <w:rPr>
          <w:rFonts w:ascii="Courier New" w:hAnsi="Courier New"/>
          <w:b w:val="0"/>
          <w:color w:val="1A1A1A"/>
          <w:sz w:val="18"/>
        </w:rPr>
        <w:t>cd frontend</w:t>
      </w:r>
    </w:p>
    <w:p>
      <w:pPr>
        <w:spacing w:after="0"/>
        <w:ind w:left="432"/>
        <w:shd w:val="clear" w:color="auto" w:fill="F4F4F4"/>
      </w:pPr>
      <w:r>
        <w:rPr>
          <w:rFonts w:ascii="Courier New" w:hAnsi="Courier New"/>
          <w:b w:val="0"/>
          <w:color w:val="1A1A1A"/>
          <w:sz w:val="18"/>
        </w:rPr>
        <w:t>npm install       # first time only</w:t>
      </w:r>
    </w:p>
    <w:p>
      <w:pPr>
        <w:spacing w:after="0"/>
        <w:ind w:left="432"/>
        <w:shd w:val="clear" w:color="auto" w:fill="F4F4F4"/>
      </w:pPr>
      <w:r>
        <w:rPr>
          <w:rFonts w:ascii="Courier New" w:hAnsi="Courier New"/>
          <w:b w:val="0"/>
          <w:color w:val="1A1A1A"/>
          <w:sz w:val="18"/>
        </w:rPr>
        <w:t>npm run dev</w:t>
      </w:r>
    </w:p>
    <w:p>
      <w:pPr>
        <w:spacing w:after="120"/>
      </w:pPr>
      <w:r>
        <w:rPr>
          <w:rFonts w:ascii="DM Sans" w:hAnsi="DM Sans"/>
          <w:b w:val="0"/>
          <w:color w:val="222222"/>
          <w:sz w:val="22"/>
        </w:rPr>
        <w:t>Open http://localhost:5173 in your browser.</w:t>
      </w:r>
    </w:p>
    <w:p>
      <w:pPr>
        <w:spacing w:before="200" w:after="40"/>
      </w:pPr>
      <w:r>
        <w:rPr>
          <w:rFonts w:ascii="DM Sans" w:hAnsi="DM Sans"/>
          <w:b/>
          <w:color w:val="0B0B0B"/>
          <w:sz w:val="26"/>
        </w:rPr>
        <w:t>4.3 Health check</w:t>
      </w:r>
    </w:p>
    <w:p>
      <w:pPr>
        <w:spacing w:after="120"/>
      </w:pPr>
      <w:r>
        <w:rPr>
          <w:rFonts w:ascii="DM Sans" w:hAnsi="DM Sans"/>
          <w:b w:val="0"/>
          <w:color w:val="222222"/>
          <w:sz w:val="22"/>
        </w:rPr>
        <w:t>Verify the backend is ready:</w:t>
      </w:r>
    </w:p>
    <w:p>
      <w:pPr>
        <w:spacing w:after="0"/>
        <w:ind w:left="432"/>
        <w:shd w:val="clear" w:color="auto" w:fill="F4F4F4"/>
      </w:pPr>
      <w:r>
        <w:rPr>
          <w:rFonts w:ascii="Courier New" w:hAnsi="Courier New"/>
          <w:b w:val="0"/>
          <w:color w:val="1A1A1A"/>
          <w:sz w:val="18"/>
        </w:rPr>
        <w:t>curl http://localhost:8000/api/health</w:t>
      </w:r>
    </w:p>
    <w:p>
      <w:pPr>
        <w:spacing w:after="120"/>
      </w:pPr>
      <w:r>
        <w:rPr>
          <w:rFonts w:ascii="DM Sans" w:hAnsi="DM Sans"/>
          <w:b w:val="0"/>
          <w:color w:val="222222"/>
          <w:sz w:val="22"/>
        </w:rPr>
        <w:t>A successful response includes rows_loaded (should be ~6,668), explanation_rows (~26,672), and sample row IDs.</w:t>
      </w:r>
    </w:p>
    <w:p>
      <w:pPr>
        <w:spacing w:before="280" w:after="80"/>
        <w:pBdr>
          <w:bottom w:val="single" w:sz="6" w:space="4" w:color="81FBA5"/>
        </w:pBdr>
      </w:pPr>
      <w:r>
        <w:rPr>
          <w:rFonts w:ascii="DM Sans" w:hAnsi="DM Sans"/>
          <w:b/>
          <w:color w:val="0B0B0B"/>
          <w:sz w:val="32"/>
        </w:rPr>
        <w:t>5. LLM Narrative Configuration</w:t>
      </w:r>
    </w:p>
    <w:p>
      <w:pPr>
        <w:spacing w:after="120"/>
      </w:pPr>
      <w:r>
        <w:rPr>
          <w:rFonts w:ascii="DM Sans" w:hAnsi="DM Sans"/>
          <w:b w:val="0"/>
          <w:color w:val="222222"/>
          <w:sz w:val="22"/>
        </w:rPr>
        <w:t>The AI Narrative tab supports four LLM providers. Configure at least one to enable narrative generation. The app automatically detects which providers have credentials and shows only those as selectable options.</w:t>
      </w:r>
    </w:p>
    <w:tbl>
      <w:tblPr>
        <w:tblStyle w:val="TableGrid"/>
        <w:tblW w:type="auto" w:w="0"/>
        <w:tblLook w:firstColumn="1" w:firstRow="1" w:lastColumn="0" w:lastRow="0" w:noHBand="0" w:noVBand="1" w:val="04A0"/>
      </w:tblPr>
      <w:tblGrid>
        <w:gridCol w:w="3264"/>
        <w:gridCol w:w="3264"/>
        <w:gridCol w:w="3264"/>
      </w:tblGrid>
      <w:tr>
        <w:tc>
          <w:tcPr>
            <w:tcW w:type="dxa" w:w="3264"/>
          </w:tcPr>
          <w:p/>
        </w:tc>
        <w:tc>
          <w:tcPr>
            <w:tcW w:type="dxa" w:w="3264"/>
          </w:tcPr>
          <w:p/>
        </w:tc>
        <w:tc>
          <w:tcPr>
            <w:tcW w:type="dxa" w:w="3264"/>
          </w:tcPr>
          <w:p/>
        </w:tc>
      </w:tr>
      <w:tr>
        <w:tc>
          <w:tcPr>
            <w:tcW w:type="dxa" w:w="3264"/>
            <w:shd w:val="clear" w:color="auto" w:fill="81FBA5"/>
          </w:tcPr>
          <w:p>
            <w:r/>
            <w:r>
              <w:rPr>
                <w:rFonts w:ascii="DM Sans" w:hAnsi="DM Sans"/>
                <w:b/>
                <w:color w:val="0B0B0B"/>
                <w:sz w:val="20"/>
              </w:rPr>
              <w:t>Provider</w:t>
            </w:r>
          </w:p>
        </w:tc>
        <w:tc>
          <w:tcPr>
            <w:tcW w:type="dxa" w:w="3264"/>
            <w:shd w:val="clear" w:color="auto" w:fill="81FBA5"/>
          </w:tcPr>
          <w:p>
            <w:r/>
            <w:r>
              <w:rPr>
                <w:rFonts w:ascii="DM Sans" w:hAnsi="DM Sans"/>
                <w:b/>
                <w:color w:val="0B0B0B"/>
                <w:sz w:val="20"/>
              </w:rPr>
              <w:t>Required .env keys</w:t>
            </w:r>
          </w:p>
        </w:tc>
        <w:tc>
          <w:tcPr>
            <w:tcW w:type="dxa" w:w="3264"/>
            <w:shd w:val="clear" w:color="auto" w:fill="81FBA5"/>
          </w:tcPr>
          <w:p>
            <w:r/>
            <w:r>
              <w:rPr>
                <w:rFonts w:ascii="DM Sans" w:hAnsi="DM Sans"/>
                <w:b/>
                <w:color w:val="0B0B0B"/>
                <w:sz w:val="20"/>
              </w:rPr>
              <w:t>Notes</w:t>
            </w:r>
          </w:p>
        </w:tc>
      </w:tr>
      <w:tr>
        <w:tc>
          <w:tcPr>
            <w:tcW w:type="dxa" w:w="3264"/>
          </w:tcPr>
          <w:p>
            <w:r/>
            <w:r>
              <w:rPr>
                <w:rFonts w:ascii="DM Sans" w:hAnsi="DM Sans"/>
                <w:b w:val="0"/>
                <w:color w:val="222222"/>
                <w:sz w:val="20"/>
              </w:rPr>
              <w:t>DR LLM Gateway</w:t>
            </w:r>
          </w:p>
        </w:tc>
        <w:tc>
          <w:tcPr>
            <w:tcW w:type="dxa" w:w="3264"/>
          </w:tcPr>
          <w:p>
            <w:r/>
            <w:r>
              <w:rPr>
                <w:rFonts w:ascii="DM Sans" w:hAnsi="DM Sans"/>
                <w:b w:val="0"/>
                <w:color w:val="222222"/>
                <w:sz w:val="20"/>
              </w:rPr>
              <w:t>DR_GATEWAY_MODEL</w:t>
            </w:r>
          </w:p>
        </w:tc>
        <w:tc>
          <w:tcPr>
            <w:tcW w:type="dxa" w:w="3264"/>
          </w:tcPr>
          <w:p>
            <w:r/>
            <w:r>
              <w:rPr>
                <w:rFonts w:ascii="DM Sans" w:hAnsi="DM Sans"/>
                <w:b w:val="0"/>
                <w:color w:val="222222"/>
                <w:sz w:val="20"/>
              </w:rPr>
              <w:t>Recommended. Uses your DataRobot API token — no extra credentials needed.</w:t>
            </w:r>
          </w:p>
        </w:tc>
      </w:tr>
      <w:tr>
        <w:tc>
          <w:tcPr>
            <w:tcW w:type="dxa" w:w="3264"/>
          </w:tcPr>
          <w:p>
            <w:r/>
            <w:r>
              <w:rPr>
                <w:rFonts w:ascii="DM Sans" w:hAnsi="DM Sans"/>
                <w:b w:val="0"/>
                <w:color w:val="222222"/>
                <w:sz w:val="20"/>
              </w:rPr>
              <w:t>DR Deployed LLM</w:t>
            </w:r>
          </w:p>
        </w:tc>
        <w:tc>
          <w:tcPr>
            <w:tcW w:type="dxa" w:w="3264"/>
          </w:tcPr>
          <w:p>
            <w:r/>
            <w:r>
              <w:rPr>
                <w:rFonts w:ascii="DM Sans" w:hAnsi="DM Sans"/>
                <w:b w:val="0"/>
                <w:color w:val="222222"/>
                <w:sz w:val="20"/>
              </w:rPr>
              <w:t>DR_LLM_DEPLOYMENT_ID</w:t>
            </w:r>
          </w:p>
        </w:tc>
        <w:tc>
          <w:tcPr>
            <w:tcW w:type="dxa" w:w="3264"/>
          </w:tcPr>
          <w:p>
            <w:r/>
            <w:r>
              <w:rPr>
                <w:rFonts w:ascii="DM Sans" w:hAnsi="DM Sans"/>
                <w:b w:val="0"/>
                <w:color w:val="222222"/>
                <w:sz w:val="20"/>
              </w:rPr>
              <w:t>Calls a deployed TextGen model via its chat completions endpoint.</w:t>
            </w:r>
          </w:p>
        </w:tc>
      </w:tr>
      <w:tr>
        <w:tc>
          <w:tcPr>
            <w:tcW w:type="dxa" w:w="3264"/>
          </w:tcPr>
          <w:p>
            <w:r/>
            <w:r>
              <w:rPr>
                <w:rFonts w:ascii="DM Sans" w:hAnsi="DM Sans"/>
                <w:b w:val="0"/>
                <w:color w:val="222222"/>
                <w:sz w:val="20"/>
              </w:rPr>
              <w:t>Azure OpenAI</w:t>
            </w:r>
          </w:p>
        </w:tc>
        <w:tc>
          <w:tcPr>
            <w:tcW w:type="dxa" w:w="3264"/>
          </w:tcPr>
          <w:p>
            <w:r/>
            <w:r>
              <w:rPr>
                <w:rFonts w:ascii="DM Sans" w:hAnsi="DM Sans"/>
                <w:b w:val="0"/>
                <w:color w:val="222222"/>
                <w:sz w:val="20"/>
              </w:rPr>
              <w:t>AZURE_OPENAI_API_KEY, AZURE_OPENAI_API_BASE, AZURE_OPENAI_DEPLOYMENT_NAME</w:t>
            </w:r>
          </w:p>
        </w:tc>
        <w:tc>
          <w:tcPr>
            <w:tcW w:type="dxa" w:w="3264"/>
          </w:tcPr>
          <w:p>
            <w:r/>
            <w:r>
              <w:rPr>
                <w:rFonts w:ascii="DM Sans" w:hAnsi="DM Sans"/>
                <w:b w:val="0"/>
                <w:color w:val="222222"/>
                <w:sz w:val="20"/>
              </w:rPr>
              <w:t>Standard Azure OpenAI credentials.</w:t>
            </w:r>
          </w:p>
        </w:tc>
      </w:tr>
      <w:tr>
        <w:tc>
          <w:tcPr>
            <w:tcW w:type="dxa" w:w="3264"/>
          </w:tcPr>
          <w:p>
            <w:r/>
            <w:r>
              <w:rPr>
                <w:rFonts w:ascii="DM Sans" w:hAnsi="DM Sans"/>
                <w:b w:val="0"/>
                <w:color w:val="222222"/>
                <w:sz w:val="20"/>
              </w:rPr>
              <w:t>Anthropic</w:t>
            </w:r>
          </w:p>
        </w:tc>
        <w:tc>
          <w:tcPr>
            <w:tcW w:type="dxa" w:w="3264"/>
          </w:tcPr>
          <w:p>
            <w:r/>
            <w:r>
              <w:rPr>
                <w:rFonts w:ascii="DM Sans" w:hAnsi="DM Sans"/>
                <w:b w:val="0"/>
                <w:color w:val="222222"/>
                <w:sz w:val="20"/>
              </w:rPr>
              <w:t>ANTHROPIC_API_KEY</w:t>
            </w:r>
          </w:p>
        </w:tc>
        <w:tc>
          <w:tcPr>
            <w:tcW w:type="dxa" w:w="3264"/>
          </w:tcPr>
          <w:p>
            <w:r/>
            <w:r>
              <w:rPr>
                <w:rFonts w:ascii="DM Sans" w:hAnsi="DM Sans"/>
                <w:b w:val="0"/>
                <w:color w:val="222222"/>
                <w:sz w:val="20"/>
              </w:rPr>
              <w:t>Direct Anthropic API. Model defaults to claude-sonnet-4-6.</w:t>
            </w:r>
          </w:p>
        </w:tc>
      </w:tr>
    </w:tbl>
    <w:p/>
    <w:p>
      <w:pPr>
        <w:spacing w:before="200" w:after="40"/>
      </w:pPr>
      <w:r>
        <w:rPr>
          <w:rFonts w:ascii="DM Sans" w:hAnsi="DM Sans"/>
          <w:b/>
          <w:color w:val="0B0B0B"/>
          <w:sz w:val="26"/>
        </w:rPr>
        <w:t>5.1 LLM Gateway model IDs</w:t>
      </w:r>
    </w:p>
    <w:p>
      <w:pPr>
        <w:spacing w:after="120"/>
      </w:pPr>
      <w:r>
        <w:rPr>
          <w:rFonts w:ascii="DM Sans" w:hAnsi="DM Sans"/>
          <w:b w:val="0"/>
          <w:color w:val="222222"/>
          <w:sz w:val="22"/>
        </w:rPr>
        <w:t>Set DR_GATEWAY_MODEL to the Chat model ID from the DataRobot documentation (docs.datarobot.com &gt; Reference &gt; LLM Availability). Examples:</w:t>
      </w:r>
    </w:p>
    <w:p>
      <w:pPr>
        <w:pStyle w:val="ListBullet"/>
        <w:spacing w:after="60"/>
        <w:ind w:left="360"/>
      </w:pPr>
      <w:r>
        <w:rPr>
          <w:rFonts w:ascii="DM Sans" w:hAnsi="DM Sans"/>
          <w:b w:val="0"/>
          <w:color w:val="222222"/>
          <w:sz w:val="22"/>
        </w:rPr>
        <w:t>azure/gpt-4o-mini</w:t>
      </w:r>
    </w:p>
    <w:p>
      <w:pPr>
        <w:pStyle w:val="ListBullet"/>
        <w:spacing w:after="60"/>
        <w:ind w:left="360"/>
      </w:pPr>
      <w:r>
        <w:rPr>
          <w:rFonts w:ascii="DM Sans" w:hAnsi="DM Sans"/>
          <w:b w:val="0"/>
          <w:color w:val="222222"/>
          <w:sz w:val="22"/>
        </w:rPr>
        <w:t>azure/gpt-4o-2024-11-20</w:t>
      </w:r>
    </w:p>
    <w:p>
      <w:pPr>
        <w:pStyle w:val="ListBullet"/>
        <w:spacing w:after="60"/>
        <w:ind w:left="360"/>
      </w:pPr>
      <w:r>
        <w:rPr>
          <w:rFonts w:ascii="DM Sans" w:hAnsi="DM Sans"/>
          <w:b w:val="0"/>
          <w:color w:val="222222"/>
          <w:sz w:val="22"/>
        </w:rPr>
        <w:t>anthropic/claude-sonnet-4-6</w:t>
      </w:r>
    </w:p>
    <w:p>
      <w:pPr>
        <w:pStyle w:val="ListBullet"/>
        <w:spacing w:after="60"/>
        <w:ind w:left="360"/>
      </w:pPr>
      <w:r>
        <w:rPr>
          <w:rFonts w:ascii="DM Sans" w:hAnsi="DM Sans"/>
          <w:b w:val="0"/>
          <w:color w:val="222222"/>
          <w:sz w:val="22"/>
        </w:rPr>
        <w:t>vertex_ai/gemini-2.0-flash-001</w:t>
      </w:r>
    </w:p>
    <w:p>
      <w:pPr>
        <w:pStyle w:val="ListBullet"/>
        <w:spacing w:after="60"/>
        <w:ind w:left="360"/>
      </w:pPr>
      <w:r>
        <w:rPr>
          <w:rFonts w:ascii="DM Sans" w:hAnsi="DM Sans"/>
          <w:b w:val="0"/>
          <w:color w:val="222222"/>
          <w:sz w:val="22"/>
        </w:rPr>
        <w:t>bedrock/anthropic.claude-3-5-sonnet-20241022-v2:0</w:t>
      </w:r>
    </w:p>
    <w:p>
      <w:pPr>
        <w:spacing w:after="120"/>
      </w:pPr>
      <w:r>
        <w:rPr>
          <w:rFonts w:ascii="DM Sans" w:hAnsi="DM Sans"/>
          <w:b w:val="0"/>
          <w:color w:val="222222"/>
          <w:sz w:val="22"/>
        </w:rPr>
        <w:t>After changing .env, restart the backend — settings are cached at startup and a hot-reload is not sufficient.</w:t>
      </w:r>
    </w:p>
    <w:p>
      <w:pPr>
        <w:spacing w:before="280" w:after="80"/>
        <w:pBdr>
          <w:bottom w:val="single" w:sz="6" w:space="4" w:color="81FBA5"/>
        </w:pBdr>
      </w:pPr>
      <w:r>
        <w:rPr>
          <w:rFonts w:ascii="DM Sans" w:hAnsi="DM Sans"/>
          <w:b/>
          <w:color w:val="0B0B0B"/>
          <w:sz w:val="32"/>
        </w:rPr>
        <w:t>6. API Endpoints</w:t>
      </w:r>
    </w:p>
    <w:tbl>
      <w:tblPr>
        <w:tblStyle w:val="TableGrid"/>
        <w:tblW w:type="auto" w:w="0"/>
        <w:tblLook w:firstColumn="1" w:firstRow="1" w:lastColumn="0" w:lastRow="0" w:noHBand="0" w:noVBand="1" w:val="04A0"/>
      </w:tblPr>
      <w:tblGrid>
        <w:gridCol w:w="3264"/>
        <w:gridCol w:w="3264"/>
        <w:gridCol w:w="3264"/>
      </w:tblGrid>
      <w:tr>
        <w:tc>
          <w:tcPr>
            <w:tcW w:type="dxa" w:w="3264"/>
          </w:tcPr>
          <w:p/>
        </w:tc>
        <w:tc>
          <w:tcPr>
            <w:tcW w:type="dxa" w:w="3264"/>
          </w:tcPr>
          <w:p/>
        </w:tc>
        <w:tc>
          <w:tcPr>
            <w:tcW w:type="dxa" w:w="3264"/>
          </w:tcPr>
          <w:p/>
        </w:tc>
      </w:tr>
      <w:tr>
        <w:tc>
          <w:tcPr>
            <w:tcW w:type="dxa" w:w="3264"/>
            <w:shd w:val="clear" w:color="auto" w:fill="81FBA5"/>
          </w:tcPr>
          <w:p>
            <w:r/>
            <w:r>
              <w:rPr>
                <w:rFonts w:ascii="DM Sans" w:hAnsi="DM Sans"/>
                <w:b/>
                <w:color w:val="0B0B0B"/>
                <w:sz w:val="20"/>
              </w:rPr>
              <w:t>Method + Path</w:t>
            </w:r>
          </w:p>
        </w:tc>
        <w:tc>
          <w:tcPr>
            <w:tcW w:type="dxa" w:w="3264"/>
            <w:shd w:val="clear" w:color="auto" w:fill="81FBA5"/>
          </w:tcPr>
          <w:p>
            <w:r/>
            <w:r>
              <w:rPr>
                <w:rFonts w:ascii="DM Sans" w:hAnsi="DM Sans"/>
                <w:b/>
                <w:color w:val="0B0B0B"/>
                <w:sz w:val="20"/>
              </w:rPr>
              <w:t>Parameters</w:t>
            </w:r>
          </w:p>
        </w:tc>
        <w:tc>
          <w:tcPr>
            <w:tcW w:type="dxa" w:w="3264"/>
            <w:shd w:val="clear" w:color="auto" w:fill="81FBA5"/>
          </w:tcPr>
          <w:p>
            <w:r/>
            <w:r>
              <w:rPr>
                <w:rFonts w:ascii="DM Sans" w:hAnsi="DM Sans"/>
                <w:b/>
                <w:color w:val="0B0B0B"/>
                <w:sz w:val="20"/>
              </w:rPr>
              <w:t>Returns</w:t>
            </w:r>
          </w:p>
        </w:tc>
      </w:tr>
      <w:tr>
        <w:tc>
          <w:tcPr>
            <w:tcW w:type="dxa" w:w="3264"/>
          </w:tcPr>
          <w:p>
            <w:r/>
            <w:r>
              <w:rPr>
                <w:rFonts w:ascii="DM Sans" w:hAnsi="DM Sans"/>
                <w:b w:val="0"/>
                <w:color w:val="222222"/>
                <w:sz w:val="20"/>
              </w:rPr>
              <w:t>GET /api/health</w:t>
            </w:r>
          </w:p>
        </w:tc>
        <w:tc>
          <w:tcPr>
            <w:tcW w:type="dxa" w:w="3264"/>
          </w:tcPr>
          <w:p>
            <w:r/>
            <w:r>
              <w:rPr>
                <w:rFonts w:ascii="DM Sans" w:hAnsi="DM Sans"/>
                <w:b w:val="0"/>
                <w:color w:val="222222"/>
                <w:sz w:val="20"/>
              </w:rPr>
              <w:t>—</w:t>
            </w:r>
          </w:p>
        </w:tc>
        <w:tc>
          <w:tcPr>
            <w:tcW w:type="dxa" w:w="3264"/>
          </w:tcPr>
          <w:p>
            <w:r/>
            <w:r>
              <w:rPr>
                <w:rFonts w:ascii="DM Sans" w:hAnsi="DM Sans"/>
                <w:b w:val="0"/>
                <w:color w:val="222222"/>
                <w:sz w:val="20"/>
              </w:rPr>
              <w:t>Status, row counts, sample row IDs</w:t>
            </w:r>
          </w:p>
        </w:tc>
      </w:tr>
      <w:tr>
        <w:tc>
          <w:tcPr>
            <w:tcW w:type="dxa" w:w="3264"/>
          </w:tcPr>
          <w:p>
            <w:r/>
            <w:r>
              <w:rPr>
                <w:rFonts w:ascii="DM Sans" w:hAnsi="DM Sans"/>
                <w:b w:val="0"/>
                <w:color w:val="222222"/>
                <w:sz w:val="20"/>
              </w:rPr>
              <w:t>GET /api/columns</w:t>
            </w:r>
          </w:p>
        </w:tc>
        <w:tc>
          <w:tcPr>
            <w:tcW w:type="dxa" w:w="3264"/>
          </w:tcPr>
          <w:p>
            <w:r/>
            <w:r>
              <w:rPr>
                <w:rFonts w:ascii="DM Sans" w:hAnsi="DM Sans"/>
                <w:b w:val="0"/>
                <w:color w:val="222222"/>
                <w:sz w:val="20"/>
              </w:rPr>
              <w:t>—</w:t>
            </w:r>
          </w:p>
        </w:tc>
        <w:tc>
          <w:tcPr>
            <w:tcW w:type="dxa" w:w="3264"/>
          </w:tcPr>
          <w:p>
            <w:r/>
            <w:r>
              <w:rPr>
                <w:rFonts w:ascii="DM Sans" w:hAnsi="DM Sans"/>
                <w:b w:val="0"/>
                <w:color w:val="222222"/>
                <w:sz w:val="20"/>
              </w:rPr>
              <w:t>All filterable columns with type, min/max, or distinct values</w:t>
            </w:r>
          </w:p>
        </w:tc>
      </w:tr>
      <w:tr>
        <w:tc>
          <w:tcPr>
            <w:tcW w:type="dxa" w:w="3264"/>
          </w:tcPr>
          <w:p>
            <w:r/>
            <w:r>
              <w:rPr>
                <w:rFonts w:ascii="DM Sans" w:hAnsi="DM Sans"/>
                <w:b w:val="0"/>
                <w:color w:val="222222"/>
                <w:sz w:val="20"/>
              </w:rPr>
              <w:t>GET /api/cohort</w:t>
            </w:r>
          </w:p>
        </w:tc>
        <w:tc>
          <w:tcPr>
            <w:tcW w:type="dxa" w:w="3264"/>
          </w:tcPr>
          <w:p>
            <w:r/>
            <w:r>
              <w:rPr>
                <w:rFonts w:ascii="DM Sans" w:hAnsi="DM Sans"/>
                <w:b w:val="0"/>
                <w:color w:val="222222"/>
                <w:sz w:val="20"/>
              </w:rPr>
              <w:t>filters (JSON string)</w:t>
            </w:r>
          </w:p>
        </w:tc>
        <w:tc>
          <w:tcPr>
            <w:tcW w:type="dxa" w:w="3264"/>
          </w:tcPr>
          <w:p>
            <w:r/>
            <w:r>
              <w:rPr>
                <w:rFonts w:ascii="DM Sans" w:hAnsi="DM Sans"/>
                <w:b w:val="0"/>
                <w:color w:val="222222"/>
                <w:sz w:val="20"/>
              </w:rPr>
              <w:t>Cohort size, score distribution, histogram</w:t>
            </w:r>
          </w:p>
        </w:tc>
      </w:tr>
      <w:tr>
        <w:tc>
          <w:tcPr>
            <w:tcW w:type="dxa" w:w="3264"/>
          </w:tcPr>
          <w:p>
            <w:r/>
            <w:r>
              <w:rPr>
                <w:rFonts w:ascii="DM Sans" w:hAnsi="DM Sans"/>
                <w:b w:val="0"/>
                <w:color w:val="222222"/>
                <w:sz w:val="20"/>
              </w:rPr>
              <w:t>GET /api/groups</w:t>
            </w:r>
          </w:p>
        </w:tc>
        <w:tc>
          <w:tcPr>
            <w:tcW w:type="dxa" w:w="3264"/>
          </w:tcPr>
          <w:p>
            <w:r/>
            <w:r>
              <w:rPr>
                <w:rFonts w:ascii="DM Sans" w:hAnsi="DM Sans"/>
                <w:b w:val="0"/>
                <w:color w:val="222222"/>
                <w:sz w:val="20"/>
              </w:rPr>
              <w:t>filters (JSON string)</w:t>
            </w:r>
          </w:p>
        </w:tc>
        <w:tc>
          <w:tcPr>
            <w:tcW w:type="dxa" w:w="3264"/>
          </w:tcPr>
          <w:p>
            <w:r/>
            <w:r>
              <w:rPr>
                <w:rFonts w:ascii="DM Sans" w:hAnsi="DM Sans"/>
                <w:b w:val="0"/>
                <w:color w:val="222222"/>
                <w:sz w:val="20"/>
              </w:rPr>
              <w:t>Group SHAP aggregations sorted by |avg_shap|</w:t>
            </w:r>
          </w:p>
        </w:tc>
      </w:tr>
      <w:tr>
        <w:tc>
          <w:tcPr>
            <w:tcW w:type="dxa" w:w="3264"/>
          </w:tcPr>
          <w:p>
            <w:r/>
            <w:r>
              <w:rPr>
                <w:rFonts w:ascii="DM Sans" w:hAnsi="DM Sans"/>
                <w:b w:val="0"/>
                <w:color w:val="222222"/>
                <w:sz w:val="20"/>
              </w:rPr>
              <w:t>GET /api/row/{row_id}</w:t>
            </w:r>
          </w:p>
        </w:tc>
        <w:tc>
          <w:tcPr>
            <w:tcW w:type="dxa" w:w="3264"/>
          </w:tcPr>
          <w:p>
            <w:r/>
            <w:r>
              <w:rPr>
                <w:rFonts w:ascii="DM Sans" w:hAnsi="DM Sans"/>
                <w:b w:val="0"/>
                <w:color w:val="222222"/>
                <w:sz w:val="20"/>
              </w:rPr>
              <w:t>—</w:t>
            </w:r>
          </w:p>
        </w:tc>
        <w:tc>
          <w:tcPr>
            <w:tcW w:type="dxa" w:w="3264"/>
          </w:tcPr>
          <w:p>
            <w:r/>
            <w:r>
              <w:rPr>
                <w:rFonts w:ascii="DM Sans" w:hAnsi="DM Sans"/>
                <w:b w:val="0"/>
                <w:color w:val="222222"/>
                <w:sz w:val="20"/>
              </w:rPr>
              <w:t>Waterfall explanation for one policy</w:t>
            </w:r>
          </w:p>
        </w:tc>
      </w:tr>
      <w:tr>
        <w:tc>
          <w:tcPr>
            <w:tcW w:type="dxa" w:w="3264"/>
          </w:tcPr>
          <w:p>
            <w:r/>
            <w:r>
              <w:rPr>
                <w:rFonts w:ascii="DM Sans" w:hAnsi="DM Sans"/>
                <w:b w:val="0"/>
                <w:color w:val="222222"/>
                <w:sz w:val="20"/>
              </w:rPr>
              <w:t>GET /api/llm/providers</w:t>
            </w:r>
          </w:p>
        </w:tc>
        <w:tc>
          <w:tcPr>
            <w:tcW w:type="dxa" w:w="3264"/>
          </w:tcPr>
          <w:p>
            <w:r/>
            <w:r>
              <w:rPr>
                <w:rFonts w:ascii="DM Sans" w:hAnsi="DM Sans"/>
                <w:b w:val="0"/>
                <w:color w:val="222222"/>
                <w:sz w:val="20"/>
              </w:rPr>
              <w:t>—</w:t>
            </w:r>
          </w:p>
        </w:tc>
        <w:tc>
          <w:tcPr>
            <w:tcW w:type="dxa" w:w="3264"/>
          </w:tcPr>
          <w:p>
            <w:r/>
            <w:r>
              <w:rPr>
                <w:rFonts w:ascii="DM Sans" w:hAnsi="DM Sans"/>
                <w:b w:val="0"/>
                <w:color w:val="222222"/>
                <w:sz w:val="20"/>
              </w:rPr>
              <w:t>Configured LLM providers and which are available</w:t>
            </w:r>
          </w:p>
        </w:tc>
      </w:tr>
      <w:tr>
        <w:tc>
          <w:tcPr>
            <w:tcW w:type="dxa" w:w="3264"/>
          </w:tcPr>
          <w:p>
            <w:r/>
            <w:r>
              <w:rPr>
                <w:rFonts w:ascii="DM Sans" w:hAnsi="DM Sans"/>
                <w:b w:val="0"/>
                <w:color w:val="222222"/>
                <w:sz w:val="20"/>
              </w:rPr>
              <w:t>POST /api/narrative</w:t>
            </w:r>
          </w:p>
        </w:tc>
        <w:tc>
          <w:tcPr>
            <w:tcW w:type="dxa" w:w="3264"/>
          </w:tcPr>
          <w:p>
            <w:r/>
            <w:r>
              <w:rPr>
                <w:rFonts w:ascii="DM Sans" w:hAnsi="DM Sans"/>
                <w:b w:val="0"/>
                <w:color w:val="222222"/>
                <w:sz w:val="20"/>
              </w:rPr>
              <w:t>JSON body: filters, provider, custom_instruction</w:t>
            </w:r>
          </w:p>
        </w:tc>
        <w:tc>
          <w:tcPr>
            <w:tcW w:type="dxa" w:w="3264"/>
          </w:tcPr>
          <w:p>
            <w:r/>
            <w:r>
              <w:rPr>
                <w:rFonts w:ascii="DM Sans" w:hAnsi="DM Sans"/>
                <w:b w:val="0"/>
                <w:color w:val="222222"/>
                <w:sz w:val="20"/>
              </w:rPr>
              <w:t>AI-generated narrative text</w:t>
            </w:r>
          </w:p>
        </w:tc>
      </w:tr>
    </w:tbl>
    <w:p/>
    <w:p>
      <w:pPr>
        <w:spacing w:before="200" w:after="40"/>
      </w:pPr>
      <w:r>
        <w:rPr>
          <w:rFonts w:ascii="DM Sans" w:hAnsi="DM Sans"/>
          <w:b/>
          <w:color w:val="0B0B0B"/>
          <w:sz w:val="26"/>
        </w:rPr>
        <w:t>6.1 Filter format</w:t>
      </w:r>
    </w:p>
    <w:p>
      <w:pPr>
        <w:spacing w:after="120"/>
      </w:pPr>
      <w:r>
        <w:rPr>
          <w:rFonts w:ascii="DM Sans" w:hAnsi="DM Sans"/>
          <w:b w:val="0"/>
          <w:color w:val="222222"/>
          <w:sz w:val="22"/>
        </w:rPr>
        <w:t>Filters are passed as a JSON string in the query parameter. Examples:</w:t>
      </w:r>
    </w:p>
    <w:p>
      <w:pPr>
        <w:spacing w:after="0"/>
        <w:ind w:left="432"/>
        <w:shd w:val="clear" w:color="auto" w:fill="F4F4F4"/>
      </w:pPr>
      <w:r>
        <w:rPr>
          <w:rFonts w:ascii="Courier New" w:hAnsi="Courier New"/>
          <w:b w:val="0"/>
          <w:color w:val="1A1A1A"/>
          <w:sz w:val="18"/>
        </w:rPr>
        <w:t># Range filter</w:t>
      </w:r>
    </w:p>
    <w:p>
      <w:pPr>
        <w:spacing w:after="0"/>
        <w:ind w:left="432"/>
        <w:shd w:val="clear" w:color="auto" w:fill="F4F4F4"/>
      </w:pPr>
      <w:r>
        <w:rPr>
          <w:rFonts w:ascii="Courier New" w:hAnsi="Courier New"/>
          <w:b w:val="0"/>
          <w:color w:val="1A1A1A"/>
          <w:sz w:val="18"/>
        </w:rPr>
        <w:t>{"Age_life1": {"min": 30, "max": 50}}</w:t>
      </w:r>
    </w:p>
    <w:p>
      <w:pPr>
        <w:spacing w:after="0"/>
        <w:ind w:left="432"/>
        <w:shd w:val="clear" w:color="auto" w:fill="F4F4F4"/>
      </w:pPr>
      <w:r>
        <w:rPr>
          <w:rFonts w:ascii="Courier New" w:hAnsi="Courier New"/>
          <w:b w:val="0"/>
          <w:color w:val="1A1A1A"/>
          <w:sz w:val="18"/>
        </w:rPr>
        <w:t xml:space="preserve"> </w:t>
      </w:r>
    </w:p>
    <w:p>
      <w:pPr>
        <w:spacing w:after="0"/>
        <w:ind w:left="432"/>
        <w:shd w:val="clear" w:color="auto" w:fill="F4F4F4"/>
      </w:pPr>
      <w:r>
        <w:rPr>
          <w:rFonts w:ascii="Courier New" w:hAnsi="Courier New"/>
          <w:b w:val="0"/>
          <w:color w:val="1A1A1A"/>
          <w:sz w:val="18"/>
        </w:rPr>
        <w:t># Multi-select filter</w:t>
      </w:r>
    </w:p>
    <w:p>
      <w:pPr>
        <w:spacing w:after="0"/>
        <w:ind w:left="432"/>
        <w:shd w:val="clear" w:color="auto" w:fill="F4F4F4"/>
      </w:pPr>
      <w:r>
        <w:rPr>
          <w:rFonts w:ascii="Courier New" w:hAnsi="Courier New"/>
          <w:b w:val="0"/>
          <w:color w:val="1A1A1A"/>
          <w:sz w:val="18"/>
        </w:rPr>
        <w:t>{"Product_Desc": ["Block Life Term Cover", "Whole of Life"]}</w:t>
      </w:r>
    </w:p>
    <w:p>
      <w:pPr>
        <w:spacing w:after="0"/>
        <w:ind w:left="432"/>
        <w:shd w:val="clear" w:color="auto" w:fill="F4F4F4"/>
      </w:pPr>
      <w:r>
        <w:rPr>
          <w:rFonts w:ascii="Courier New" w:hAnsi="Courier New"/>
          <w:b w:val="0"/>
          <w:color w:val="1A1A1A"/>
          <w:sz w:val="18"/>
        </w:rPr>
        <w:t xml:space="preserve"> </w:t>
      </w:r>
    </w:p>
    <w:p>
      <w:pPr>
        <w:spacing w:after="0"/>
        <w:ind w:left="432"/>
        <w:shd w:val="clear" w:color="auto" w:fill="F4F4F4"/>
      </w:pPr>
      <w:r>
        <w:rPr>
          <w:rFonts w:ascii="Courier New" w:hAnsi="Courier New"/>
          <w:b w:val="0"/>
          <w:color w:val="1A1A1A"/>
          <w:sz w:val="18"/>
        </w:rPr>
        <w:t># Combined</w:t>
      </w:r>
    </w:p>
    <w:p>
      <w:pPr>
        <w:spacing w:after="0"/>
        <w:ind w:left="432"/>
        <w:shd w:val="clear" w:color="auto" w:fill="F4F4F4"/>
      </w:pPr>
      <w:r>
        <w:rPr>
          <w:rFonts w:ascii="Courier New" w:hAnsi="Courier New"/>
          <w:b w:val="0"/>
          <w:color w:val="1A1A1A"/>
          <w:sz w:val="18"/>
        </w:rPr>
        <w:t>{"Decile": {"min": 8, "max": 10}, "SmokerStatus": ["Y"]}</w:t>
      </w:r>
    </w:p>
    <w:p>
      <w:pPr>
        <w:spacing w:before="280" w:after="80"/>
        <w:pBdr>
          <w:bottom w:val="single" w:sz="6" w:space="4" w:color="81FBA5"/>
        </w:pBdr>
      </w:pPr>
      <w:r>
        <w:rPr>
          <w:rFonts w:ascii="DM Sans" w:hAnsi="DM Sans"/>
          <w:b/>
          <w:color w:val="0B0B0B"/>
          <w:sz w:val="32"/>
        </w:rPr>
        <w:t>7. Feature Group Configuration</w:t>
      </w:r>
    </w:p>
    <w:p>
      <w:pPr>
        <w:spacing w:after="120"/>
      </w:pPr>
      <w:r>
        <w:rPr>
          <w:rFonts w:ascii="DM Sans" w:hAnsi="DM Sans"/>
          <w:b w:val="0"/>
          <w:color w:val="222222"/>
          <w:sz w:val="22"/>
        </w:rPr>
        <w:t>Feature-to-group assignments are stored in backend/feature_group_mapping.json. Edit this file to reassign features without touching any code. The backend reloads the mapping on restart.</w:t>
      </w:r>
    </w:p>
    <w:p>
      <w:pPr>
        <w:spacing w:before="200" w:after="40"/>
      </w:pPr>
      <w:r>
        <w:rPr>
          <w:rFonts w:ascii="DM Sans" w:hAnsi="DM Sans"/>
          <w:b/>
          <w:color w:val="0B0B0B"/>
          <w:sz w:val="26"/>
        </w:rPr>
        <w:t>7.1 Current groups</w:t>
      </w:r>
    </w:p>
    <w:p>
      <w:pPr>
        <w:pStyle w:val="ListBullet"/>
        <w:spacing w:after="60"/>
        <w:ind w:left="360"/>
      </w:pPr>
      <w:r>
        <w:rPr>
          <w:rFonts w:ascii="DM Sans" w:hAnsi="DM Sans"/>
          <w:b w:val="0"/>
          <w:color w:val="222222"/>
          <w:sz w:val="22"/>
        </w:rPr>
        <w:t>Policy &amp; Product — product type, cover, premium, term, sum assured</w:t>
      </w:r>
    </w:p>
    <w:p>
      <w:pPr>
        <w:pStyle w:val="ListBullet"/>
        <w:spacing w:after="60"/>
        <w:ind w:left="360"/>
      </w:pPr>
      <w:r>
        <w:rPr>
          <w:rFonts w:ascii="DM Sans" w:hAnsi="DM Sans"/>
          <w:b w:val="0"/>
          <w:color w:val="222222"/>
          <w:sz w:val="22"/>
        </w:rPr>
        <w:t>Policy Portfolio — number and value of policies across lives</w:t>
      </w:r>
    </w:p>
    <w:p>
      <w:pPr>
        <w:pStyle w:val="ListBullet"/>
        <w:spacing w:after="60"/>
        <w:ind w:left="360"/>
      </w:pPr>
      <w:r>
        <w:rPr>
          <w:rFonts w:ascii="DM Sans" w:hAnsi="DM Sans"/>
          <w:b w:val="0"/>
          <w:color w:val="222222"/>
          <w:sz w:val="22"/>
        </w:rPr>
        <w:t>Agent / Adviser — servicing agent, source of business, commission</w:t>
      </w:r>
    </w:p>
    <w:p>
      <w:pPr>
        <w:pStyle w:val="ListBullet"/>
        <w:spacing w:after="60"/>
        <w:ind w:left="360"/>
      </w:pPr>
      <w:r>
        <w:rPr>
          <w:rFonts w:ascii="DM Sans" w:hAnsi="DM Sans"/>
          <w:b w:val="0"/>
          <w:color w:val="222222"/>
          <w:sz w:val="22"/>
        </w:rPr>
        <w:t>Sociodemographic — age, gender, smoker status, occupation, family</w:t>
      </w:r>
    </w:p>
    <w:p>
      <w:pPr>
        <w:pStyle w:val="ListBullet"/>
        <w:spacing w:after="60"/>
        <w:ind w:left="360"/>
      </w:pPr>
      <w:r>
        <w:rPr>
          <w:rFonts w:ascii="DM Sans" w:hAnsi="DM Sans"/>
          <w:b w:val="0"/>
          <w:color w:val="222222"/>
          <w:sz w:val="22"/>
        </w:rPr>
        <w:t>Financial Profile — income, debt, net worth, credit score, monthly expenditure</w:t>
      </w:r>
    </w:p>
    <w:p>
      <w:pPr>
        <w:pStyle w:val="ListBullet"/>
        <w:spacing w:after="60"/>
        <w:ind w:left="360"/>
      </w:pPr>
      <w:r>
        <w:rPr>
          <w:rFonts w:ascii="DM Sans" w:hAnsi="DM Sans"/>
          <w:b w:val="0"/>
          <w:color w:val="222222"/>
          <w:sz w:val="22"/>
        </w:rPr>
        <w:t>Engagement &amp; Reviews — logins, review type, months since review</w:t>
      </w:r>
    </w:p>
    <w:p>
      <w:pPr>
        <w:pStyle w:val="ListBullet"/>
        <w:spacing w:after="60"/>
        <w:ind w:left="360"/>
      </w:pPr>
      <w:r>
        <w:rPr>
          <w:rFonts w:ascii="DM Sans" w:hAnsi="DM Sans"/>
          <w:b w:val="0"/>
          <w:color w:val="222222"/>
          <w:sz w:val="22"/>
        </w:rPr>
        <w:t>Persona — persona segment labels</w:t>
      </w:r>
    </w:p>
    <w:p>
      <w:pPr>
        <w:spacing w:before="200" w:after="40"/>
      </w:pPr>
      <w:r>
        <w:rPr>
          <w:rFonts w:ascii="DM Sans" w:hAnsi="DM Sans"/>
          <w:b/>
          <w:color w:val="0B0B0B"/>
          <w:sz w:val="26"/>
        </w:rPr>
        <w:t>7.2 Adding or moving a feature</w:t>
      </w:r>
    </w:p>
    <w:p>
      <w:pPr>
        <w:spacing w:after="120"/>
      </w:pPr>
      <w:r>
        <w:rPr>
          <w:rFonts w:ascii="DM Sans" w:hAnsi="DM Sans"/>
          <w:b w:val="0"/>
          <w:color w:val="222222"/>
          <w:sz w:val="22"/>
        </w:rPr>
        <w:t>Open backend/feature_group_mapping.json and move the feature name string to the target group array. Restart the backend.</w:t>
      </w:r>
    </w:p>
    <w:p>
      <w:pPr>
        <w:spacing w:before="280" w:after="80"/>
        <w:pBdr>
          <w:bottom w:val="single" w:sz="6" w:space="4" w:color="81FBA5"/>
        </w:pBdr>
      </w:pPr>
      <w:r>
        <w:rPr>
          <w:rFonts w:ascii="DM Sans" w:hAnsi="DM Sans"/>
          <w:b/>
          <w:color w:val="0B0B0B"/>
          <w:sz w:val="32"/>
        </w:rPr>
        <w:t>8. SQL Server Export (Power BI Path)</w:t>
      </w:r>
    </w:p>
    <w:p>
      <w:pPr>
        <w:spacing w:after="120"/>
      </w:pPr>
      <w:r>
        <w:rPr>
          <w:rFonts w:ascii="DM Sans" w:hAnsi="DM Sans"/>
          <w:b w:val="0"/>
          <w:color w:val="222222"/>
          <w:sz w:val="22"/>
        </w:rPr>
        <w:t>The script scripts/export_to_sql.py pulls the same data as the backend and writes three tables to SQL Server for use in Power BI.</w:t>
      </w:r>
    </w:p>
    <w:p>
      <w:pPr>
        <w:spacing w:before="200" w:after="40"/>
      </w:pPr>
      <w:r>
        <w:rPr>
          <w:rFonts w:ascii="DM Sans" w:hAnsi="DM Sans"/>
          <w:b/>
          <w:color w:val="0B0B0B"/>
          <w:sz w:val="26"/>
        </w:rPr>
        <w:t>8.1 Setup</w:t>
      </w:r>
    </w:p>
    <w:p>
      <w:pPr>
        <w:spacing w:after="120"/>
      </w:pPr>
      <w:r>
        <w:rPr>
          <w:rFonts w:ascii="DM Sans" w:hAnsi="DM Sans"/>
          <w:b w:val="0"/>
          <w:color w:val="222222"/>
          <w:sz w:val="22"/>
        </w:rPr>
        <w:t>Add SQL_CONNECTION_STRING to .env:</w:t>
      </w:r>
    </w:p>
    <w:p>
      <w:pPr>
        <w:spacing w:after="0"/>
        <w:ind w:left="432"/>
        <w:shd w:val="clear" w:color="auto" w:fill="F4F4F4"/>
      </w:pPr>
      <w:r>
        <w:rPr>
          <w:rFonts w:ascii="Courier New" w:hAnsi="Courier New"/>
          <w:b w:val="0"/>
          <w:color w:val="1A1A1A"/>
          <w:sz w:val="18"/>
        </w:rPr>
        <w:t># SQL auth</w:t>
      </w:r>
    </w:p>
    <w:p>
      <w:pPr>
        <w:spacing w:after="0"/>
        <w:ind w:left="432"/>
        <w:shd w:val="clear" w:color="auto" w:fill="F4F4F4"/>
      </w:pPr>
      <w:r>
        <w:rPr>
          <w:rFonts w:ascii="Courier New" w:hAnsi="Courier New"/>
          <w:b w:val="0"/>
          <w:color w:val="1A1A1A"/>
          <w:sz w:val="18"/>
        </w:rPr>
        <w:t>SQL_CONNECTION_STRING=mssql+pyodbc://user:pass@server/db?driver=ODBC+Driver+17+for+SQL+Server</w:t>
      </w:r>
    </w:p>
    <w:p>
      <w:pPr>
        <w:spacing w:after="0"/>
        <w:ind w:left="432"/>
        <w:shd w:val="clear" w:color="auto" w:fill="F4F4F4"/>
      </w:pPr>
      <w:r>
        <w:rPr>
          <w:rFonts w:ascii="Courier New" w:hAnsi="Courier New"/>
          <w:b w:val="0"/>
          <w:color w:val="1A1A1A"/>
          <w:sz w:val="18"/>
        </w:rPr>
        <w:t xml:space="preserve"> </w:t>
      </w:r>
    </w:p>
    <w:p>
      <w:pPr>
        <w:spacing w:after="0"/>
        <w:ind w:left="432"/>
        <w:shd w:val="clear" w:color="auto" w:fill="F4F4F4"/>
      </w:pPr>
      <w:r>
        <w:rPr>
          <w:rFonts w:ascii="Courier New" w:hAnsi="Courier New"/>
          <w:b w:val="0"/>
          <w:color w:val="1A1A1A"/>
          <w:sz w:val="18"/>
        </w:rPr>
        <w:t># Windows auth</w:t>
      </w:r>
    </w:p>
    <w:p>
      <w:pPr>
        <w:spacing w:after="0"/>
        <w:ind w:left="432"/>
        <w:shd w:val="clear" w:color="auto" w:fill="F4F4F4"/>
      </w:pPr>
      <w:r>
        <w:rPr>
          <w:rFonts w:ascii="Courier New" w:hAnsi="Courier New"/>
          <w:b w:val="0"/>
          <w:color w:val="1A1A1A"/>
          <w:sz w:val="18"/>
        </w:rPr>
        <w:t>SQL_CONNECTION_STRING=mssql+pyodbc://@server/db?driver=ODBC+Driver+17+for+SQL+Server&amp;trusted_connection=yes</w:t>
      </w:r>
    </w:p>
    <w:p>
      <w:pPr>
        <w:spacing w:before="200" w:after="40"/>
      </w:pPr>
      <w:r>
        <w:rPr>
          <w:rFonts w:ascii="DM Sans" w:hAnsi="DM Sans"/>
          <w:b/>
          <w:color w:val="0B0B0B"/>
          <w:sz w:val="26"/>
        </w:rPr>
        <w:t>8.2 Running the export</w:t>
      </w:r>
    </w:p>
    <w:p>
      <w:pPr>
        <w:spacing w:after="0"/>
        <w:ind w:left="432"/>
        <w:shd w:val="clear" w:color="auto" w:fill="F4F4F4"/>
      </w:pPr>
      <w:r>
        <w:rPr>
          <w:rFonts w:ascii="Courier New" w:hAnsi="Courier New"/>
          <w:b w:val="0"/>
          <w:color w:val="1A1A1A"/>
          <w:sz w:val="18"/>
        </w:rPr>
        <w:t># First run — create tables and populate</w:t>
      </w:r>
    </w:p>
    <w:p>
      <w:pPr>
        <w:spacing w:after="0"/>
        <w:ind w:left="432"/>
        <w:shd w:val="clear" w:color="auto" w:fill="F4F4F4"/>
      </w:pPr>
      <w:r>
        <w:rPr>
          <w:rFonts w:ascii="Courier New" w:hAnsi="Courier New"/>
          <w:b w:val="0"/>
          <w:color w:val="1A1A1A"/>
          <w:sz w:val="18"/>
        </w:rPr>
        <w:t>python scripts/export_to_sql.py --replace</w:t>
      </w:r>
    </w:p>
    <w:p>
      <w:pPr>
        <w:spacing w:after="0"/>
        <w:ind w:left="432"/>
        <w:shd w:val="clear" w:color="auto" w:fill="F4F4F4"/>
      </w:pPr>
      <w:r>
        <w:rPr>
          <w:rFonts w:ascii="Courier New" w:hAnsi="Courier New"/>
          <w:b w:val="0"/>
          <w:color w:val="1A1A1A"/>
          <w:sz w:val="18"/>
        </w:rPr>
        <w:t xml:space="preserve"> </w:t>
      </w:r>
    </w:p>
    <w:p>
      <w:pPr>
        <w:spacing w:after="0"/>
        <w:ind w:left="432"/>
        <w:shd w:val="clear" w:color="auto" w:fill="F4F4F4"/>
      </w:pPr>
      <w:r>
        <w:rPr>
          <w:rFonts w:ascii="Courier New" w:hAnsi="Courier New"/>
          <w:b w:val="0"/>
          <w:color w:val="1A1A1A"/>
          <w:sz w:val="18"/>
        </w:rPr>
        <w:t># Include training labels (Lapse_ind)</w:t>
      </w:r>
    </w:p>
    <w:p>
      <w:pPr>
        <w:spacing w:after="0"/>
        <w:ind w:left="432"/>
        <w:shd w:val="clear" w:color="auto" w:fill="F4F4F4"/>
      </w:pPr>
      <w:r>
        <w:rPr>
          <w:rFonts w:ascii="Courier New" w:hAnsi="Courier New"/>
          <w:b w:val="0"/>
          <w:color w:val="1A1A1A"/>
          <w:sz w:val="18"/>
        </w:rPr>
        <w:t>python scripts/export_to_sql.py --replace --training-excel data/Training.xlsx</w:t>
      </w:r>
    </w:p>
    <w:p>
      <w:pPr>
        <w:spacing w:before="200" w:after="40"/>
      </w:pPr>
      <w:r>
        <w:rPr>
          <w:rFonts w:ascii="DM Sans" w:hAnsi="DM Sans"/>
          <w:b/>
          <w:color w:val="0B0B0B"/>
          <w:sz w:val="26"/>
        </w:rPr>
        <w:t>8.3 Output tables</w:t>
      </w:r>
    </w:p>
    <w:tbl>
      <w:tblPr>
        <w:tblStyle w:val="TableGrid"/>
        <w:tblW w:type="auto" w:w="0"/>
        <w:tblLook w:firstColumn="1" w:firstRow="1" w:lastColumn="0" w:lastRow="0" w:noHBand="0" w:noVBand="1" w:val="04A0"/>
      </w:tblPr>
      <w:tblGrid>
        <w:gridCol w:w="4896"/>
        <w:gridCol w:w="4896"/>
      </w:tblGrid>
      <w:tr>
        <w:tc>
          <w:tcPr>
            <w:tcW w:type="dxa" w:w="4896"/>
          </w:tcPr>
          <w:p/>
        </w:tc>
        <w:tc>
          <w:tcPr>
            <w:tcW w:type="dxa" w:w="4896"/>
          </w:tcPr>
          <w:p/>
        </w:tc>
      </w:tr>
      <w:tr>
        <w:tc>
          <w:tcPr>
            <w:tcW w:type="dxa" w:w="4896"/>
            <w:shd w:val="clear" w:color="auto" w:fill="81FBA5"/>
          </w:tcPr>
          <w:p>
            <w:r/>
            <w:r>
              <w:rPr>
                <w:rFonts w:ascii="DM Sans" w:hAnsi="DM Sans"/>
                <w:b/>
                <w:color w:val="0B0B0B"/>
                <w:sz w:val="20"/>
              </w:rPr>
              <w:t>Table</w:t>
            </w:r>
          </w:p>
        </w:tc>
        <w:tc>
          <w:tcPr>
            <w:tcW w:type="dxa" w:w="4896"/>
            <w:shd w:val="clear" w:color="auto" w:fill="81FBA5"/>
          </w:tcPr>
          <w:p>
            <w:r/>
            <w:r>
              <w:rPr>
                <w:rFonts w:ascii="DM Sans" w:hAnsi="DM Sans"/>
                <w:b/>
                <w:color w:val="0B0B0B"/>
                <w:sz w:val="20"/>
              </w:rPr>
              <w:t>Contents</w:t>
            </w:r>
          </w:p>
        </w:tc>
      </w:tr>
      <w:tr>
        <w:tc>
          <w:tcPr>
            <w:tcW w:type="dxa" w:w="4896"/>
          </w:tcPr>
          <w:p>
            <w:r/>
            <w:r>
              <w:rPr>
                <w:rFonts w:ascii="DM Sans" w:hAnsi="DM Sans"/>
                <w:b w:val="0"/>
                <w:color w:val="222222"/>
                <w:sz w:val="20"/>
              </w:rPr>
              <w:t>explainability_scored_population</w:t>
            </w:r>
          </w:p>
        </w:tc>
        <w:tc>
          <w:tcPr>
            <w:tcW w:type="dxa" w:w="4896"/>
          </w:tcPr>
          <w:p>
            <w:r/>
            <w:r>
              <w:rPr>
                <w:rFonts w:ascii="DM Sans" w:hAnsi="DM Sans"/>
                <w:b w:val="0"/>
                <w:color w:val="222222"/>
                <w:sz w:val="20"/>
              </w:rPr>
              <w:t>All source features + prediction score (~6,668 rows)</w:t>
            </w:r>
          </w:p>
        </w:tc>
      </w:tr>
      <w:tr>
        <w:tc>
          <w:tcPr>
            <w:tcW w:type="dxa" w:w="4896"/>
          </w:tcPr>
          <w:p>
            <w:r/>
            <w:r>
              <w:rPr>
                <w:rFonts w:ascii="DM Sans" w:hAnsi="DM Sans"/>
                <w:b w:val="0"/>
                <w:color w:val="222222"/>
                <w:sz w:val="20"/>
              </w:rPr>
              <w:t>explainability_explanation_long</w:t>
            </w:r>
          </w:p>
        </w:tc>
        <w:tc>
          <w:tcPr>
            <w:tcW w:type="dxa" w:w="4896"/>
          </w:tcPr>
          <w:p>
            <w:r/>
            <w:r>
              <w:rPr>
                <w:rFonts w:ascii="DM Sans" w:hAnsi="DM Sans"/>
                <w:b w:val="0"/>
                <w:color w:val="222222"/>
                <w:sz w:val="20"/>
              </w:rPr>
              <w:t>Unpivoted SHAP rows with group labels (~26,672 rows)</w:t>
            </w:r>
          </w:p>
        </w:tc>
      </w:tr>
      <w:tr>
        <w:tc>
          <w:tcPr>
            <w:tcW w:type="dxa" w:w="4896"/>
          </w:tcPr>
          <w:p>
            <w:r/>
            <w:r>
              <w:rPr>
                <w:rFonts w:ascii="DM Sans" w:hAnsi="DM Sans"/>
                <w:b w:val="0"/>
                <w:color w:val="222222"/>
                <w:sz w:val="20"/>
              </w:rPr>
              <w:t>explainability_feature_group_mapping</w:t>
            </w:r>
          </w:p>
        </w:tc>
        <w:tc>
          <w:tcPr>
            <w:tcW w:type="dxa" w:w="4896"/>
          </w:tcPr>
          <w:p>
            <w:r/>
            <w:r>
              <w:rPr>
                <w:rFonts w:ascii="DM Sans" w:hAnsi="DM Sans"/>
                <w:b w:val="0"/>
                <w:color w:val="222222"/>
                <w:sz w:val="20"/>
              </w:rPr>
              <w:t>Feature → group lookup (83 rows)</w:t>
            </w:r>
          </w:p>
        </w:tc>
      </w:tr>
    </w:tbl>
    <w:p/>
    <w:p>
      <w:pPr>
        <w:spacing w:before="200" w:after="40"/>
      </w:pPr>
      <w:r>
        <w:rPr>
          <w:rFonts w:ascii="DM Sans" w:hAnsi="DM Sans"/>
          <w:b/>
          <w:color w:val="0B0B0B"/>
          <w:sz w:val="26"/>
        </w:rPr>
        <w:t>8.4 Power BI setup</w:t>
      </w:r>
    </w:p>
    <w:p>
      <w:pPr>
        <w:pStyle w:val="ListBullet"/>
        <w:spacing w:after="60"/>
        <w:ind w:left="360"/>
      </w:pPr>
      <w:r>
        <w:rPr>
          <w:rFonts w:ascii="DM Sans" w:hAnsi="DM Sans"/>
          <w:b w:val="0"/>
          <w:color w:val="222222"/>
          <w:sz w:val="22"/>
        </w:rPr>
        <w:t>Connect to SQL Server (Import or DirectQuery)</w:t>
      </w:r>
    </w:p>
    <w:p>
      <w:pPr>
        <w:pStyle w:val="ListBullet"/>
        <w:spacing w:after="60"/>
        <w:ind w:left="360"/>
      </w:pPr>
      <w:r>
        <w:rPr>
          <w:rFonts w:ascii="DM Sans" w:hAnsi="DM Sans"/>
          <w:b w:val="0"/>
          <w:color w:val="222222"/>
          <w:sz w:val="22"/>
        </w:rPr>
        <w:t>Load all three tables</w:t>
      </w:r>
    </w:p>
    <w:p>
      <w:pPr>
        <w:pStyle w:val="ListBullet"/>
        <w:spacing w:after="60"/>
        <w:ind w:left="360"/>
      </w:pPr>
      <w:r>
        <w:rPr>
          <w:rFonts w:ascii="DM Sans" w:hAnsi="DM Sans"/>
          <w:b w:val="0"/>
          <w:color w:val="222222"/>
          <w:sz w:val="22"/>
        </w:rPr>
        <w:t>Create relationship: scored_population[Policy_Number]  →  explanation_long[row_id]  (1 : many)</w:t>
      </w:r>
    </w:p>
    <w:p>
      <w:pPr>
        <w:pStyle w:val="ListBullet"/>
        <w:spacing w:after="60"/>
        <w:ind w:left="360"/>
      </w:pPr>
      <w:r>
        <w:rPr>
          <w:rFonts w:ascii="DM Sans" w:hAnsi="DM Sans"/>
          <w:b w:val="0"/>
          <w:color w:val="222222"/>
          <w:sz w:val="22"/>
        </w:rPr>
        <w:t>Add DAX measure:  Avg Group SHAP = AVERAGEX(RELATEDTABLE(explanation_long), explanation_long[shap_strength])</w:t>
      </w:r>
    </w:p>
    <w:p>
      <w:pPr>
        <w:pStyle w:val="ListBullet"/>
        <w:spacing w:after="60"/>
        <w:ind w:left="360"/>
      </w:pPr>
      <w:r>
        <w:rPr>
          <w:rFonts w:ascii="DM Sans" w:hAnsi="DM Sans"/>
          <w:b w:val="0"/>
          <w:color w:val="222222"/>
          <w:sz w:val="22"/>
        </w:rPr>
        <w:t>Add slicers on: Decile, Product_Desc, Age_life1, SmokerStatus, feature_group</w:t>
      </w:r>
    </w:p>
    <w:p>
      <w:pPr>
        <w:spacing w:before="280" w:after="80"/>
        <w:pBdr>
          <w:bottom w:val="single" w:sz="6" w:space="4" w:color="81FBA5"/>
        </w:pBdr>
      </w:pPr>
      <w:r>
        <w:rPr>
          <w:rFonts w:ascii="DM Sans" w:hAnsi="DM Sans"/>
          <w:b/>
          <w:color w:val="0B0B0B"/>
          <w:sz w:val="32"/>
        </w:rPr>
        <w:t>9. Troubleshooting</w:t>
      </w:r>
    </w:p>
    <w:tbl>
      <w:tblPr>
        <w:tblStyle w:val="TableGrid"/>
        <w:tblW w:type="auto" w:w="0"/>
        <w:tblLook w:firstColumn="1" w:firstRow="1" w:lastColumn="0" w:lastRow="0" w:noHBand="0" w:noVBand="1" w:val="04A0"/>
      </w:tblPr>
      <w:tblGrid>
        <w:gridCol w:w="4896"/>
        <w:gridCol w:w="4896"/>
      </w:tblGrid>
      <w:tr>
        <w:tc>
          <w:tcPr>
            <w:tcW w:type="dxa" w:w="4896"/>
          </w:tcPr>
          <w:p/>
        </w:tc>
        <w:tc>
          <w:tcPr>
            <w:tcW w:type="dxa" w:w="4896"/>
          </w:tcPr>
          <w:p/>
        </w:tc>
      </w:tr>
      <w:tr>
        <w:tc>
          <w:tcPr>
            <w:tcW w:type="dxa" w:w="4896"/>
            <w:shd w:val="clear" w:color="auto" w:fill="81FBA5"/>
          </w:tcPr>
          <w:p>
            <w:r/>
            <w:r>
              <w:rPr>
                <w:rFonts w:ascii="DM Sans" w:hAnsi="DM Sans"/>
                <w:b/>
                <w:color w:val="0B0B0B"/>
                <w:sz w:val="20"/>
              </w:rPr>
              <w:t>Symptom</w:t>
            </w:r>
          </w:p>
        </w:tc>
        <w:tc>
          <w:tcPr>
            <w:tcW w:type="dxa" w:w="4896"/>
            <w:shd w:val="clear" w:color="auto" w:fill="81FBA5"/>
          </w:tcPr>
          <w:p>
            <w:r/>
            <w:r>
              <w:rPr>
                <w:rFonts w:ascii="DM Sans" w:hAnsi="DM Sans"/>
                <w:b/>
                <w:color w:val="0B0B0B"/>
                <w:sz w:val="20"/>
              </w:rPr>
              <w:t>Fix</w:t>
            </w:r>
          </w:p>
        </w:tc>
      </w:tr>
      <w:tr>
        <w:tc>
          <w:tcPr>
            <w:tcW w:type="dxa" w:w="4896"/>
          </w:tcPr>
          <w:p>
            <w:r/>
            <w:r>
              <w:rPr>
                <w:rFonts w:ascii="DM Sans" w:hAnsi="DM Sans"/>
                <w:b w:val="0"/>
                <w:color w:val="222222"/>
                <w:sz w:val="20"/>
              </w:rPr>
              <w:t>Startup takes &gt; 10 min</w:t>
            </w:r>
          </w:p>
        </w:tc>
        <w:tc>
          <w:tcPr>
            <w:tcW w:type="dxa" w:w="4896"/>
          </w:tcPr>
          <w:p>
            <w:r/>
            <w:r>
              <w:rPr>
                <w:rFonts w:ascii="DM Sans" w:hAnsi="DM Sans"/>
                <w:b w:val="0"/>
                <w:color w:val="222222"/>
                <w:sz w:val="20"/>
              </w:rPr>
              <w:t>Check that .prediction_dataset_cache.json exists. If missing, the full PE pipeline reruns. Delete the cache only if the scoring dataset has changed.</w:t>
            </w:r>
          </w:p>
        </w:tc>
      </w:tr>
      <w:tr>
        <w:tc>
          <w:tcPr>
            <w:tcW w:type="dxa" w:w="4896"/>
          </w:tcPr>
          <w:p>
            <w:r/>
            <w:r>
              <w:rPr>
                <w:rFonts w:ascii="DM Sans" w:hAnsi="DM Sans"/>
                <w:b w:val="0"/>
                <w:color w:val="222222"/>
                <w:sz w:val="20"/>
              </w:rPr>
              <w:t>No explanation data for cohort</w:t>
            </w:r>
          </w:p>
        </w:tc>
        <w:tc>
          <w:tcPr>
            <w:tcW w:type="dxa" w:w="4896"/>
          </w:tcPr>
          <w:p>
            <w:r/>
            <w:r>
              <w:rPr>
                <w:rFonts w:ascii="DM Sans" w:hAnsi="DM Sans"/>
                <w:b w:val="0"/>
                <w:color w:val="222222"/>
                <w:sz w:val="20"/>
              </w:rPr>
              <w:t>Run curl /api/health and check explanation_sample_row_ids matches population_sample_row_ids format. A type mismatch causes the join to fail.</w:t>
            </w:r>
          </w:p>
        </w:tc>
      </w:tr>
      <w:tr>
        <w:tc>
          <w:tcPr>
            <w:tcW w:type="dxa" w:w="4896"/>
          </w:tcPr>
          <w:p>
            <w:r/>
            <w:r>
              <w:rPr>
                <w:rFonts w:ascii="DM Sans" w:hAnsi="DM Sans"/>
                <w:b w:val="0"/>
                <w:color w:val="222222"/>
                <w:sz w:val="20"/>
              </w:rPr>
              <w:t>LLM narrative returns 500</w:t>
            </w:r>
          </w:p>
        </w:tc>
        <w:tc>
          <w:tcPr>
            <w:tcW w:type="dxa" w:w="4896"/>
          </w:tcPr>
          <w:p>
            <w:r/>
            <w:r>
              <w:rPr>
                <w:rFonts w:ascii="DM Sans" w:hAnsi="DM Sans"/>
                <w:b w:val="0"/>
                <w:color w:val="222222"/>
                <w:sz w:val="20"/>
              </w:rPr>
              <w:t>Check backend logs for the LiteLLM error. Most common causes: wrong DR_GATEWAY_MODEL format (must be azure/gpt-4o-mini not azure-openai/gpt-4o-mini), or backend not restarted after .env change.</w:t>
            </w:r>
          </w:p>
        </w:tc>
      </w:tr>
      <w:tr>
        <w:tc>
          <w:tcPr>
            <w:tcW w:type="dxa" w:w="4896"/>
          </w:tcPr>
          <w:p>
            <w:r/>
            <w:r>
              <w:rPr>
                <w:rFonts w:ascii="DM Sans" w:hAnsi="DM Sans"/>
                <w:b w:val="0"/>
                <w:color w:val="222222"/>
                <w:sz w:val="20"/>
              </w:rPr>
              <w:t>Frontend shows stale data</w:t>
            </w:r>
          </w:p>
        </w:tc>
        <w:tc>
          <w:tcPr>
            <w:tcW w:type="dxa" w:w="4896"/>
          </w:tcPr>
          <w:p>
            <w:r/>
            <w:r>
              <w:rPr>
                <w:rFonts w:ascii="DM Sans" w:hAnsi="DM Sans"/>
                <w:b w:val="0"/>
                <w:color w:val="222222"/>
                <w:sz w:val="20"/>
              </w:rPr>
              <w:t>The backend caches data at startup. Restart uvicorn to pull fresh explanations from DataRobot.</w:t>
            </w:r>
          </w:p>
        </w:tc>
      </w:tr>
      <w:tr>
        <w:tc>
          <w:tcPr>
            <w:tcW w:type="dxa" w:w="4896"/>
          </w:tcPr>
          <w:p>
            <w:r/>
            <w:r>
              <w:rPr>
                <w:rFonts w:ascii="DM Sans" w:hAnsi="DM Sans"/>
                <w:b w:val="0"/>
                <w:color w:val="222222"/>
                <w:sz w:val="20"/>
              </w:rPr>
              <w:t>SQL export fails with driver error</w:t>
            </w:r>
          </w:p>
        </w:tc>
        <w:tc>
          <w:tcPr>
            <w:tcW w:type="dxa" w:w="4896"/>
          </w:tcPr>
          <w:p>
            <w:r/>
            <w:r>
              <w:rPr>
                <w:rFonts w:ascii="DM Sans" w:hAnsi="DM Sans"/>
                <w:b w:val="0"/>
                <w:color w:val="222222"/>
                <w:sz w:val="20"/>
              </w:rPr>
              <w:t>Install ODBC Driver 17 for SQL Server. On macOS: brew install msodbcsql17.</w:t>
            </w:r>
          </w:p>
        </w:tc>
      </w:tr>
    </w:tbl>
    <w:p>
      <w:pPr>
        <w:spacing w:before="280" w:after="80"/>
        <w:pBdr>
          <w:bottom w:val="single" w:sz="6" w:space="4" w:color="81FBA5"/>
        </w:pBdr>
      </w:pPr>
      <w:r>
        <w:rPr>
          <w:rFonts w:ascii="DM Sans" w:hAnsi="DM Sans"/>
          <w:b/>
          <w:color w:val="0B0B0B"/>
          <w:sz w:val="32"/>
        </w:rPr>
        <w:t>10. Key File Reference</w:t>
      </w:r>
    </w:p>
    <w:tbl>
      <w:tblPr>
        <w:tblStyle w:val="TableGrid"/>
        <w:tblW w:type="auto" w:w="0"/>
        <w:tblLook w:firstColumn="1" w:firstRow="1" w:lastColumn="0" w:lastRow="0" w:noHBand="0" w:noVBand="1" w:val="04A0"/>
      </w:tblPr>
      <w:tblGrid>
        <w:gridCol w:w="4896"/>
        <w:gridCol w:w="4896"/>
      </w:tblGrid>
      <w:tr>
        <w:tc>
          <w:tcPr>
            <w:tcW w:type="dxa" w:w="4896"/>
          </w:tcPr>
          <w:p/>
        </w:tc>
        <w:tc>
          <w:tcPr>
            <w:tcW w:type="dxa" w:w="4896"/>
          </w:tcPr>
          <w:p/>
        </w:tc>
      </w:tr>
      <w:tr>
        <w:tc>
          <w:tcPr>
            <w:tcW w:type="dxa" w:w="4896"/>
            <w:shd w:val="clear" w:color="auto" w:fill="81FBA5"/>
          </w:tcPr>
          <w:p>
            <w:r/>
            <w:r>
              <w:rPr>
                <w:rFonts w:ascii="DM Sans" w:hAnsi="DM Sans"/>
                <w:b/>
                <w:color w:val="0B0B0B"/>
                <w:sz w:val="20"/>
              </w:rPr>
              <w:t>File / Directory</w:t>
            </w:r>
          </w:p>
        </w:tc>
        <w:tc>
          <w:tcPr>
            <w:tcW w:type="dxa" w:w="4896"/>
            <w:shd w:val="clear" w:color="auto" w:fill="81FBA5"/>
          </w:tcPr>
          <w:p>
            <w:r/>
            <w:r>
              <w:rPr>
                <w:rFonts w:ascii="DM Sans" w:hAnsi="DM Sans"/>
                <w:b/>
                <w:color w:val="0B0B0B"/>
                <w:sz w:val="20"/>
              </w:rPr>
              <w:t>Purpose</w:t>
            </w:r>
          </w:p>
        </w:tc>
      </w:tr>
      <w:tr>
        <w:tc>
          <w:tcPr>
            <w:tcW w:type="dxa" w:w="4896"/>
          </w:tcPr>
          <w:p>
            <w:r/>
            <w:r>
              <w:rPr>
                <w:rFonts w:ascii="DM Sans" w:hAnsi="DM Sans"/>
                <w:b w:val="0"/>
                <w:color w:val="222222"/>
                <w:sz w:val="20"/>
              </w:rPr>
              <w:t>.env</w:t>
            </w:r>
          </w:p>
        </w:tc>
        <w:tc>
          <w:tcPr>
            <w:tcW w:type="dxa" w:w="4896"/>
          </w:tcPr>
          <w:p>
            <w:r/>
            <w:r>
              <w:rPr>
                <w:rFonts w:ascii="DM Sans" w:hAnsi="DM Sans"/>
                <w:b w:val="0"/>
                <w:color w:val="222222"/>
                <w:sz w:val="20"/>
              </w:rPr>
              <w:t>Runtime secrets and configuration (not committed to git)</w:t>
            </w:r>
          </w:p>
        </w:tc>
      </w:tr>
      <w:tr>
        <w:tc>
          <w:tcPr>
            <w:tcW w:type="dxa" w:w="4896"/>
          </w:tcPr>
          <w:p>
            <w:r/>
            <w:r>
              <w:rPr>
                <w:rFonts w:ascii="DM Sans" w:hAnsi="DM Sans"/>
                <w:b w:val="0"/>
                <w:color w:val="222222"/>
                <w:sz w:val="20"/>
              </w:rPr>
              <w:t>backend/main.py</w:t>
            </w:r>
          </w:p>
        </w:tc>
        <w:tc>
          <w:tcPr>
            <w:tcW w:type="dxa" w:w="4896"/>
          </w:tcPr>
          <w:p>
            <w:r/>
            <w:r>
              <w:rPr>
                <w:rFonts w:ascii="DM Sans" w:hAnsi="DM Sans"/>
                <w:b w:val="0"/>
                <w:color w:val="222222"/>
                <w:sz w:val="20"/>
              </w:rPr>
              <w:t>FastAPI app, lifespan startup, all REST endpoints</w:t>
            </w:r>
          </w:p>
        </w:tc>
      </w:tr>
      <w:tr>
        <w:tc>
          <w:tcPr>
            <w:tcW w:type="dxa" w:w="4896"/>
          </w:tcPr>
          <w:p>
            <w:r/>
            <w:r>
              <w:rPr>
                <w:rFonts w:ascii="DM Sans" w:hAnsi="DM Sans"/>
                <w:b w:val="0"/>
                <w:color w:val="222222"/>
                <w:sz w:val="20"/>
              </w:rPr>
              <w:t>backend/pipeline.py</w:t>
            </w:r>
          </w:p>
        </w:tc>
        <w:tc>
          <w:tcPr>
            <w:tcW w:type="dxa" w:w="4896"/>
          </w:tcPr>
          <w:p>
            <w:r/>
            <w:r>
              <w:rPr>
                <w:rFonts w:ascii="DM Sans" w:hAnsi="DM Sans"/>
                <w:b w:val="0"/>
                <w:color w:val="222222"/>
                <w:sz w:val="20"/>
              </w:rPr>
              <w:t>DataRobot data pipeline: upload → predict → PE → load</w:t>
            </w:r>
          </w:p>
        </w:tc>
      </w:tr>
      <w:tr>
        <w:tc>
          <w:tcPr>
            <w:tcW w:type="dxa" w:w="4896"/>
          </w:tcPr>
          <w:p>
            <w:r/>
            <w:r>
              <w:rPr>
                <w:rFonts w:ascii="DM Sans" w:hAnsi="DM Sans"/>
                <w:b w:val="0"/>
                <w:color w:val="222222"/>
                <w:sz w:val="20"/>
              </w:rPr>
              <w:t>backend/cohort.py</w:t>
            </w:r>
          </w:p>
        </w:tc>
        <w:tc>
          <w:tcPr>
            <w:tcW w:type="dxa" w:w="4896"/>
          </w:tcPr>
          <w:p>
            <w:r/>
            <w:r>
              <w:rPr>
                <w:rFonts w:ascii="DM Sans" w:hAnsi="DM Sans"/>
                <w:b w:val="0"/>
                <w:color w:val="222222"/>
                <w:sz w:val="20"/>
              </w:rPr>
              <w:t>Filter engine, cohort profile stats, group SHAP aggregation</w:t>
            </w:r>
          </w:p>
        </w:tc>
      </w:tr>
      <w:tr>
        <w:tc>
          <w:tcPr>
            <w:tcW w:type="dxa" w:w="4896"/>
          </w:tcPr>
          <w:p>
            <w:r/>
            <w:r>
              <w:rPr>
                <w:rFonts w:ascii="DM Sans" w:hAnsi="DM Sans"/>
                <w:b w:val="0"/>
                <w:color w:val="222222"/>
                <w:sz w:val="20"/>
              </w:rPr>
              <w:t>backend/llm_client.py</w:t>
            </w:r>
          </w:p>
        </w:tc>
        <w:tc>
          <w:tcPr>
            <w:tcW w:type="dxa" w:w="4896"/>
          </w:tcPr>
          <w:p>
            <w:r/>
            <w:r>
              <w:rPr>
                <w:rFonts w:ascii="DM Sans" w:hAnsi="DM Sans"/>
                <w:b w:val="0"/>
                <w:color w:val="222222"/>
                <w:sz w:val="20"/>
              </w:rPr>
              <w:t>LiteLLM abstraction for all four LLM providers</w:t>
            </w:r>
          </w:p>
        </w:tc>
      </w:tr>
      <w:tr>
        <w:tc>
          <w:tcPr>
            <w:tcW w:type="dxa" w:w="4896"/>
          </w:tcPr>
          <w:p>
            <w:r/>
            <w:r>
              <w:rPr>
                <w:rFonts w:ascii="DM Sans" w:hAnsi="DM Sans"/>
                <w:b w:val="0"/>
                <w:color w:val="222222"/>
                <w:sz w:val="20"/>
              </w:rPr>
              <w:t>backend/narrative.py</w:t>
            </w:r>
          </w:p>
        </w:tc>
        <w:tc>
          <w:tcPr>
            <w:tcW w:type="dxa" w:w="4896"/>
          </w:tcPr>
          <w:p>
            <w:r/>
            <w:r>
              <w:rPr>
                <w:rFonts w:ascii="DM Sans" w:hAnsi="DM Sans"/>
                <w:b w:val="0"/>
                <w:color w:val="222222"/>
                <w:sz w:val="20"/>
              </w:rPr>
              <w:t>Prompt construction and LLM call for narrative generation</w:t>
            </w:r>
          </w:p>
        </w:tc>
      </w:tr>
      <w:tr>
        <w:tc>
          <w:tcPr>
            <w:tcW w:type="dxa" w:w="4896"/>
          </w:tcPr>
          <w:p>
            <w:r/>
            <w:r>
              <w:rPr>
                <w:rFonts w:ascii="DM Sans" w:hAnsi="DM Sans"/>
                <w:b w:val="0"/>
                <w:color w:val="222222"/>
                <w:sz w:val="20"/>
              </w:rPr>
              <w:t>backend/config.py</w:t>
            </w:r>
          </w:p>
        </w:tc>
        <w:tc>
          <w:tcPr>
            <w:tcW w:type="dxa" w:w="4896"/>
          </w:tcPr>
          <w:p>
            <w:r/>
            <w:r>
              <w:rPr>
                <w:rFonts w:ascii="DM Sans" w:hAnsi="DM Sans"/>
                <w:b w:val="0"/>
                <w:color w:val="222222"/>
                <w:sz w:val="20"/>
              </w:rPr>
              <w:t>pydantic-settings config model — all environment variables</w:t>
            </w:r>
          </w:p>
        </w:tc>
      </w:tr>
      <w:tr>
        <w:tc>
          <w:tcPr>
            <w:tcW w:type="dxa" w:w="4896"/>
          </w:tcPr>
          <w:p>
            <w:r/>
            <w:r>
              <w:rPr>
                <w:rFonts w:ascii="DM Sans" w:hAnsi="DM Sans"/>
                <w:b w:val="0"/>
                <w:color w:val="222222"/>
                <w:sz w:val="20"/>
              </w:rPr>
              <w:t>backend/feature_group_mapping.json</w:t>
            </w:r>
          </w:p>
        </w:tc>
        <w:tc>
          <w:tcPr>
            <w:tcW w:type="dxa" w:w="4896"/>
          </w:tcPr>
          <w:p>
            <w:r/>
            <w:r>
              <w:rPr>
                <w:rFonts w:ascii="DM Sans" w:hAnsi="DM Sans"/>
                <w:b w:val="0"/>
                <w:color w:val="222222"/>
                <w:sz w:val="20"/>
              </w:rPr>
              <w:t>Feature → group assignments (editable without code changes)</w:t>
            </w:r>
          </w:p>
        </w:tc>
      </w:tr>
      <w:tr>
        <w:tc>
          <w:tcPr>
            <w:tcW w:type="dxa" w:w="4896"/>
          </w:tcPr>
          <w:p>
            <w:r/>
            <w:r>
              <w:rPr>
                <w:rFonts w:ascii="DM Sans" w:hAnsi="DM Sans"/>
                <w:b w:val="0"/>
                <w:color w:val="222222"/>
                <w:sz w:val="20"/>
              </w:rPr>
              <w:t>backend/.prediction_dataset_cache.json</w:t>
            </w:r>
          </w:p>
        </w:tc>
        <w:tc>
          <w:tcPr>
            <w:tcW w:type="dxa" w:w="4896"/>
          </w:tcPr>
          <w:p>
            <w:r/>
            <w:r>
              <w:rPr>
                <w:rFonts w:ascii="DM Sans" w:hAnsi="DM Sans"/>
                <w:b w:val="0"/>
                <w:color w:val="222222"/>
                <w:sz w:val="20"/>
              </w:rPr>
              <w:t>Auto-generated PE dataset ID cache — delete to force re-upload</w:t>
            </w:r>
          </w:p>
        </w:tc>
      </w:tr>
      <w:tr>
        <w:tc>
          <w:tcPr>
            <w:tcW w:type="dxa" w:w="4896"/>
          </w:tcPr>
          <w:p>
            <w:r/>
            <w:r>
              <w:rPr>
                <w:rFonts w:ascii="DM Sans" w:hAnsi="DM Sans"/>
                <w:b w:val="0"/>
                <w:color w:val="222222"/>
                <w:sz w:val="20"/>
              </w:rPr>
              <w:t>frontend/src/components/</w:t>
            </w:r>
          </w:p>
        </w:tc>
        <w:tc>
          <w:tcPr>
            <w:tcW w:type="dxa" w:w="4896"/>
          </w:tcPr>
          <w:p>
            <w:r/>
            <w:r>
              <w:rPr>
                <w:rFonts w:ascii="DM Sans" w:hAnsi="DM Sans"/>
                <w:b w:val="0"/>
                <w:color w:val="222222"/>
                <w:sz w:val="20"/>
              </w:rPr>
              <w:t>React UI components: CohortFilter, GroupExplanationChart, WaterfallChart, NarrativePanel</w:t>
            </w:r>
          </w:p>
        </w:tc>
      </w:tr>
      <w:tr>
        <w:tc>
          <w:tcPr>
            <w:tcW w:type="dxa" w:w="4896"/>
          </w:tcPr>
          <w:p>
            <w:r/>
            <w:r>
              <w:rPr>
                <w:rFonts w:ascii="DM Sans" w:hAnsi="DM Sans"/>
                <w:b w:val="0"/>
                <w:color w:val="222222"/>
                <w:sz w:val="20"/>
              </w:rPr>
              <w:t>scripts/export_to_sql.py</w:t>
            </w:r>
          </w:p>
        </w:tc>
        <w:tc>
          <w:tcPr>
            <w:tcW w:type="dxa" w:w="4896"/>
          </w:tcPr>
          <w:p>
            <w:r/>
            <w:r>
              <w:rPr>
                <w:rFonts w:ascii="DM Sans" w:hAnsi="DM Sans"/>
                <w:b w:val="0"/>
                <w:color w:val="222222"/>
                <w:sz w:val="20"/>
              </w:rPr>
              <w:t>SQL Server export for Power BI consumption</w:t>
            </w:r>
          </w:p>
        </w:tc>
      </w:tr>
      <w:tr>
        <w:tc>
          <w:tcPr>
            <w:tcW w:type="dxa" w:w="4896"/>
          </w:tcPr>
          <w:p>
            <w:r/>
            <w:r>
              <w:rPr>
                <w:rFonts w:ascii="DM Sans" w:hAnsi="DM Sans"/>
                <w:b w:val="0"/>
                <w:color w:val="222222"/>
                <w:sz w:val="20"/>
              </w:rPr>
              <w:t>docs/</w:t>
            </w:r>
          </w:p>
        </w:tc>
        <w:tc>
          <w:tcPr>
            <w:tcW w:type="dxa" w:w="4896"/>
          </w:tcPr>
          <w:p>
            <w:r/>
            <w:r>
              <w:rPr>
                <w:rFonts w:ascii="DM Sans" w:hAnsi="DM Sans"/>
                <w:b w:val="0"/>
                <w:color w:val="222222"/>
                <w:sz w:val="20"/>
              </w:rPr>
              <w:t>This document and the original app specification</w:t>
            </w:r>
          </w:p>
        </w:tc>
      </w:tr>
    </w:tbl>
    <w:sectPr w:rsidR="00FC693F" w:rsidRPr="0006063C" w:rsidSect="00034616">
      <w:footerReference w:type="default" r:id="rId9"/>
      <w:pgSz w:w="12240" w:h="15840"/>
      <w:pgMar w:top="1008" w:right="1440"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urier New" w:hAnsi="Courier New"/>
        <w:b w:val="0"/>
        <w:color w:val="888888"/>
        <w:sz w:val="16"/>
      </w:rPr>
      <w:t>© 2026 DataRobot, Inc. All rights reserved.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