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cos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52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6.6</w:t>
      </w:r>
      <w:r>
        <w:br/>
      </w:r>
      <w:r>
        <w:rPr>
          <w:rStyle w:val="VerbatimChar"/>
        </w:rPr>
        <w:t xml:space="preserve">tmax = 52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[1, -1.5]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2 </w:t>
      </w:r>
      <w:r>
        <w:br/>
      </w:r>
      <w:r>
        <w:rPr>
          <w:rStyle w:val="VerbatimChar"/>
        </w:rPr>
        <w:t xml:space="preserve">g = 9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6 </w:t>
      </w:r>
      <w:r>
        <w:br/>
      </w:r>
      <w:r>
        <w:rPr>
          <w:rStyle w:val="VerbatimChar"/>
        </w:rPr>
        <w:t xml:space="preserve">g = 2.4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0.2*math.cos(3*t)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Иванова Ольга Игоревна НФИбд-01-18</dc:creator>
  <dc:language>ru-RU</dc:language>
  <cp:keywords/>
  <dcterms:created xsi:type="dcterms:W3CDTF">2021-03-05T19:50:38Z</dcterms:created>
  <dcterms:modified xsi:type="dcterms:W3CDTF">2021-03-05T19:50:38Z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