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7688B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>[(0,</w:t>
      </w:r>
    </w:p>
    <w:p w14:paraId="34227C55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'0.144*"sale" + 0.089*"expect" + 0.041*"impact" + 0.035*"half" + 0.024*"positive" + 0.023*"order" + 0.022*"decline" + 0.022*"unit" + 0.021*"trend" + 0.017*"commercial"'),</w:t>
      </w:r>
    </w:p>
    <w:p w14:paraId="2A088892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(1,</w:t>
      </w:r>
    </w:p>
    <w:p w14:paraId="246C0BA7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'0.078*"product" + 0.033*"new" + 0.025*"brand" + 0.020*"launch" + 0.019*"consumer" + 0.016*"marketing" + 0.015*"distribution" + 0.012*"category" + 0.012*"partner" + 0.011*"channel"'),</w:t>
      </w:r>
    </w:p>
    <w:p w14:paraId="6007CB80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(2,</w:t>
      </w:r>
    </w:p>
    <w:p w14:paraId="2616D26E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'0.045*"conference" + 0.045*"today" + 0.037*"question" + 0.031*"release" + 0.027*"earning" + 0.027*"investor" + 0.024*"operator" + 0.021*"welcome" + 0.020*"measure" + 0.019*"time"'),</w:t>
      </w:r>
    </w:p>
    <w:p w14:paraId="54939323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(3,</w:t>
      </w:r>
    </w:p>
    <w:p w14:paraId="3C808300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'0.056*"investment" + 0.046*"term" + 0.037*"balance" + 0.033*"debt" + 0.026*"capital" + 0.020*"transaction" + 0.019*"sheet" + 0.019*"note" + 0.018*"long" + 0.018*"facility"'),</w:t>
      </w:r>
    </w:p>
    <w:p w14:paraId="292E764F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(4,</w:t>
      </w:r>
    </w:p>
    <w:p w14:paraId="767D9055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'0.033*"time" + 0.029*"number" + 0.029*"come" + 0.027*"think" + 0.023*"year" + 0.021*"good" + 0.018*"want" + 0.017*"know" + 0.017*"right" + 0.017*"talk"'),</w:t>
      </w:r>
    </w:p>
    <w:p w14:paraId="4A1712B3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(5,</w:t>
      </w:r>
    </w:p>
    <w:p w14:paraId="723546C0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'0.062*"customer" + 0.043*"service" + 0.023*"system" + 0.023*"technology" + 0.019*"new" + 0.019*"product" + 0.016*"solution" + 0.013*"network" + 0.012*"platform" + 0.011*"base"'),</w:t>
      </w:r>
    </w:p>
    <w:p w14:paraId="00E818E8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(6,</w:t>
      </w:r>
    </w:p>
    <w:p w14:paraId="63103826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'0.108*"high" + 0.075*"low" + 0.057*"price" + 0.054*"increase" + 0.051*"level" + 0.041*"volume" + 0.039*"slide" + 0.038*"average" + 0.018*"pricing" + 0.015*"year"'),</w:t>
      </w:r>
    </w:p>
    <w:p w14:paraId="0046E8AB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(7,</w:t>
      </w:r>
    </w:p>
    <w:p w14:paraId="3B58A56A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'0.029*"development" + 0.020*"patient" + 0.017*"program" + 0.014*"study" + 0.013*"phase" + 0.011*"receive" + 0.011*"clinical" + 0.010*"trial" + 0.009*"datum" + 0.008*"research"'),</w:t>
      </w:r>
    </w:p>
    <w:p w14:paraId="52CE9D50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(8,</w:t>
      </w:r>
    </w:p>
    <w:p w14:paraId="5B75EB11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'0.106*"rate" + 0.049*"asset" + 0.046*"interest" + 0.045*"portfolio" + 0.040*"tax" + 0.039*"change" + 0.032*"loan" + 0.021*"property" + 0.018*"effective" + 0.017*"fee"'),</w:t>
      </w:r>
    </w:p>
    <w:p w14:paraId="55C7BF52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(9,</w:t>
      </w:r>
    </w:p>
    <w:p w14:paraId="6B0385F4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'0.099*"million" + 0.076*"share" + 0.070*"net" + 0.055*"income" + 0.043*"expense" + 0.039*"earning" + 0.037*"non" + 0.034*"relate" + 0.031*"loss" + 0.027*"</w:t>
      </w:r>
      <w:proofErr w:type="spellStart"/>
      <w:r w:rsidRPr="00D7351E">
        <w:rPr>
          <w:rFonts w:eastAsia="Times New Roman" w:cstheme="minorHAnsi"/>
          <w:sz w:val="24"/>
          <w:szCs w:val="24"/>
          <w:lang w:val="en-US" w:eastAsia="de-DE"/>
        </w:rPr>
        <w:t>gaap</w:t>
      </w:r>
      <w:proofErr w:type="spellEnd"/>
      <w:r w:rsidRPr="00D7351E">
        <w:rPr>
          <w:rFonts w:eastAsia="Times New Roman" w:cstheme="minorHAnsi"/>
          <w:sz w:val="24"/>
          <w:szCs w:val="24"/>
          <w:lang w:val="en-US" w:eastAsia="de-DE"/>
        </w:rPr>
        <w:t>"'),</w:t>
      </w:r>
    </w:p>
    <w:p w14:paraId="0136C154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(10,</w:t>
      </w:r>
    </w:p>
    <w:p w14:paraId="2CA36558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'0.027*"opportunity" + 0.026*"focus" + 0.023*"believe" + 0.022*"continue" + 0.022*"value" + 0.021*"company" + 0.018*"business" + 0.018*"strategy" + 0.015*"team" + 0.014*"position"'),</w:t>
      </w:r>
    </w:p>
    <w:p w14:paraId="1373B2CB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(11,</w:t>
      </w:r>
    </w:p>
    <w:p w14:paraId="589EE236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'0.064*"new" + 0.051*"month" + 0.033*"early" + 0.032*"store" + 0.022*"announce" + 0.021*"close" + 0.017*"complete" + 0.015*"week" + 0.013*"acquisition" + 0.013*"state"'),</w:t>
      </w:r>
    </w:p>
    <w:p w14:paraId="6259063F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(12,</w:t>
      </w:r>
    </w:p>
    <w:p w14:paraId="0C519221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'0.337*"quarter" + 0.156*"year" + 0.080*"second" + 0.053*"compare" + 0.044*"increase" + 0.038*"fourth" + 0.036*"million" + 0.031*"fiscal" + 0.030*"period" + 0.027*"prior"'),</w:t>
      </w:r>
    </w:p>
    <w:p w14:paraId="305FBD67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(13,</w:t>
      </w:r>
    </w:p>
    <w:p w14:paraId="63F1E1D9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'0.114*"cost" + 0.050*"improve" + 0.031*"reduce" + 0.031*"improvement" + 0.030*"expense" + 0.028*"benefit" + 0.024*"reduction" + 0.024*"operating" + 0.023*"inventory" + 0.022*"continue"'),</w:t>
      </w:r>
    </w:p>
    <w:p w14:paraId="51721BF8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lastRenderedPageBreak/>
        <w:t xml:space="preserve"> (14,</w:t>
      </w:r>
    </w:p>
    <w:p w14:paraId="21A7E6A4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'0.136*"revenue" + 0.064*"margin" + 0.057*"year" + 0.048*"increase" + 0.045*"basis" + 0.044*"point" + 0.039*"segment" + 0.034*"growth" + 0.030*"gross" + 0.022*"operate"'),</w:t>
      </w:r>
    </w:p>
    <w:p w14:paraId="4147EA7C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(15,</w:t>
      </w:r>
    </w:p>
    <w:p w14:paraId="7EFB66C4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'0.034*"project" + 0.032*"production" + 0.031*"day" + 0.020*"gas" + 0.019*"contract" + 0.016*"oil" + 0.013*"energy" + 0.011*"plant" + 0.010*"capacity" + 0.010*"produce"'),</w:t>
      </w:r>
    </w:p>
    <w:p w14:paraId="0DA27799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(16,</w:t>
      </w:r>
    </w:p>
    <w:p w14:paraId="2CD2EEF1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'0.098*"market" + 0.078*"business" + 0.075*"growth" + 0.069*"continue" + 0.053*"strong" + 0.032*"grow" + 0.024*"performance" + 0.015*"global" + 0.015*"environment" + 0.013*"industry"'),</w:t>
      </w:r>
    </w:p>
    <w:p w14:paraId="33255C88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(17,</w:t>
      </w:r>
    </w:p>
    <w:p w14:paraId="3B5BA419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'0.062*"look" + 0.056*"forward" + 0.052*"statement" + 0.037*"result" + 0.029*"risk" + 0.026*"company" + 0.023*"factor" + 0.021*"future" + 0.020*"include" + 0.017*"information"'),</w:t>
      </w:r>
    </w:p>
    <w:p w14:paraId="45B332FD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(18,</w:t>
      </w:r>
    </w:p>
    <w:p w14:paraId="06B800EF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'0.181*"million" + 0.069*"cash" + 0.056*"end" + 0.055*"approximately" + 0.042*"billion" + 0.032*"year" + 0.031*"total" + 0.031*"guidance" + 0.030*"flow" + 0.027*"range"'),</w:t>
      </w:r>
    </w:p>
    <w:p w14:paraId="5C088F50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(19,</w:t>
      </w:r>
    </w:p>
    <w:p w14:paraId="4F6EDCA2" w14:textId="77777777" w:rsidR="00D7351E" w:rsidRPr="00D7351E" w:rsidRDefault="00D7351E" w:rsidP="00D73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7351E">
        <w:rPr>
          <w:rFonts w:eastAsia="Times New Roman" w:cstheme="minorHAnsi"/>
          <w:sz w:val="24"/>
          <w:szCs w:val="24"/>
          <w:lang w:val="en-US" w:eastAsia="de-DE"/>
        </w:rPr>
        <w:t xml:space="preserve">  '0.060*"turn" + 0.053*"thank" + 0.044*"financial" + 0.027*"like" + 0.027*"good" + 0.024*"president" + 0.023*"officer" + 0.023*"chief" + 0.022*"result" + 0.021*"morning"')]</w:t>
      </w:r>
    </w:p>
    <w:p w14:paraId="4532F9F4" w14:textId="77777777" w:rsidR="009656BB" w:rsidRPr="00047D82" w:rsidRDefault="00047D82">
      <w:pPr>
        <w:rPr>
          <w:rFonts w:cstheme="minorHAnsi"/>
          <w:sz w:val="28"/>
          <w:szCs w:val="28"/>
          <w:lang w:val="en-US"/>
        </w:rPr>
      </w:pPr>
    </w:p>
    <w:sectPr w:rsidR="009656BB" w:rsidRPr="00047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1E"/>
    <w:rsid w:val="00047D82"/>
    <w:rsid w:val="000A5F2C"/>
    <w:rsid w:val="00104BE9"/>
    <w:rsid w:val="00882798"/>
    <w:rsid w:val="00A013C6"/>
    <w:rsid w:val="00AA1A7B"/>
    <w:rsid w:val="00D7351E"/>
    <w:rsid w:val="00E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9CA"/>
  <w15:chartTrackingRefBased/>
  <w15:docId w15:val="{CAF4872F-DDEF-421A-BBF3-3549834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351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Seifert, Oleg</dc:creator>
  <cp:keywords/>
  <dc:description/>
  <cp:lastModifiedBy>Seifert, Oleg</cp:lastModifiedBy>
  <cp:revision>2</cp:revision>
  <dcterms:created xsi:type="dcterms:W3CDTF">2022-10-06T18:44:00Z</dcterms:created>
  <dcterms:modified xsi:type="dcterms:W3CDTF">2022-10-06T18:48:00Z</dcterms:modified>
</cp:coreProperties>
</file>