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r w:rsidDel="00000000" w:rsidR="00000000" w:rsidRPr="00000000">
        <w:rPr>
          <w:b w:val="1"/>
          <w:bCs w:val="1"/>
          <w:sz w:val="28"/>
          <w:szCs w:val="28"/>
          <w:rtl w:val="0"/>
        </w:rPr>
        <w:t xml:space="preserve">PROJETO MASTERMIND</w:t>
      </w:r>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3">
      <w:pPr>
        <w:ind w:firstLine="0"/>
        <w:jc w:val="center"/>
        <w:rPr/>
      </w:pPr>
      <w:r w:rsidDel="00000000" w:rsidR="00000000" w:rsidRPr="00000000">
        <w:rPr>
          <w:b w:val="1"/>
          <w:bCs w:val="1"/>
          <w:rtl w:val="0"/>
        </w:rPr>
        <w:t xml:space="preserve">DOCUMENTAÇÃO TÉCNICA: CASE ITAÚ</w:t>
      </w:r>
      <w:r w:rsidDel="00000000" w:rsidR="00000000" w:rsidRPr="00000000">
        <w:rPr>
          <w:rtl w:val="0"/>
        </w:rPr>
      </w:r>
    </w:p>
    <w:p w:rsidR="00000000" w:rsidDel="00000000" w:rsidP="00000000" w:rsidRDefault="00000000" w:rsidRPr="00000000" w14:paraId="00000004">
      <w:pPr>
        <w:ind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5">
      <w:pPr>
        <w:ind w:firstLine="0"/>
        <w:jc w:val="center"/>
        <w:rPr/>
      </w:pPr>
      <w:r w:rsidDel="00000000" w:rsidR="00000000" w:rsidRPr="00000000">
        <w:rPr>
          <w:rtl w:val="0"/>
        </w:rPr>
        <w:t xml:space="preserve">2026</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jc w:val="left"/>
        <w:rPr/>
      </w:pPr>
      <w:r w:rsidDel="00000000" w:rsidR="00000000" w:rsidRPr="00000000">
        <w:rPr>
          <w:rtl w:val="0"/>
        </w:rPr>
        <w:t xml:space="preserve">1 INTRODUÇÃO</w:t>
      </w:r>
    </w:p>
    <w:p w:rsidR="00000000" w:rsidDel="00000000" w:rsidP="00000000" w:rsidRDefault="00000000" w:rsidRPr="00000000" w14:paraId="00000008">
      <w:pPr>
        <w:rPr/>
      </w:pPr>
      <w:r w:rsidDel="00000000" w:rsidR="00000000" w:rsidRPr="00000000">
        <w:rPr>
          <w:rtl w:val="0"/>
        </w:rPr>
        <w:t xml:space="preserve">Contém a documentação técnica do projeto Mastermind, um jogo de dedução desenvolvido num ecossistema moderno de backend (FastAPI/Python) e frontend (Angular). A construção atende aos requisitos do Case Itaú, elaborados com as mais eficientes diretrizes de desenvolvimento web da atualidade.</w:t>
      </w:r>
    </w:p>
    <w:p w:rsidR="00000000" w:rsidDel="00000000" w:rsidP="00000000" w:rsidRDefault="00000000" w:rsidRPr="00000000" w14:paraId="00000009">
      <w:pPr>
        <w:pStyle w:val="Heading1"/>
        <w:jc w:val="left"/>
        <w:rPr/>
      </w:pPr>
      <w:r w:rsidDel="00000000" w:rsidR="00000000" w:rsidRPr="00000000">
        <w:rPr>
          <w:rtl w:val="0"/>
        </w:rPr>
        <w:t xml:space="preserve">2 TECNOLOGIAS INTEGRADAS</w:t>
      </w:r>
    </w:p>
    <w:p w:rsidR="00000000" w:rsidDel="00000000" w:rsidP="00000000" w:rsidRDefault="00000000" w:rsidRPr="00000000" w14:paraId="0000000A">
      <w:pPr>
        <w:rPr/>
      </w:pPr>
      <w:r w:rsidDel="00000000" w:rsidR="00000000" w:rsidRPr="00000000">
        <w:rPr>
          <w:rtl w:val="0"/>
        </w:rPr>
        <w:t xml:space="preserve">As principais tecnologias conceituais utilizadas na formulação e execução da solução encontram-se sumarizadas abaixo:</w:t>
      </w:r>
    </w:p>
    <w:p w:rsidR="00000000" w:rsidDel="00000000" w:rsidP="00000000" w:rsidRDefault="00000000" w:rsidRPr="00000000" w14:paraId="0000000B">
      <w:pPr>
        <w:rPr/>
      </w:pPr>
      <w:r w:rsidDel="00000000" w:rsidR="00000000" w:rsidRPr="00000000">
        <w:rPr>
          <w:rtl w:val="0"/>
        </w:rPr>
        <w:t xml:space="preserve">Backend: construído sob a versão do Python 3.10+ operando conjuntamente com o framework assíncrono FastAPI.</w:t>
      </w:r>
    </w:p>
    <w:p w:rsidR="00000000" w:rsidDel="00000000" w:rsidP="00000000" w:rsidRDefault="00000000" w:rsidRPr="00000000" w14:paraId="0000000C">
      <w:pPr>
        <w:rPr/>
      </w:pPr>
      <w:r w:rsidDel="00000000" w:rsidR="00000000" w:rsidRPr="00000000">
        <w:rPr>
          <w:rtl w:val="0"/>
        </w:rPr>
        <w:t xml:space="preserve">Banco de Dados e ORM: utilização do SGBD MariaDB operado de maneira isolada por consultas via Object-Relational Mapping (ORM) do SQLAlchemy.</w:t>
      </w:r>
    </w:p>
    <w:p w:rsidR="00000000" w:rsidDel="00000000" w:rsidP="00000000" w:rsidRDefault="00000000" w:rsidRPr="00000000" w14:paraId="0000000D">
      <w:pPr>
        <w:rPr/>
      </w:pPr>
      <w:r w:rsidDel="00000000" w:rsidR="00000000" w:rsidRPr="00000000">
        <w:rPr>
          <w:rtl w:val="0"/>
        </w:rPr>
        <w:t xml:space="preserve">Segurança e Autenticação: viabilizado pela criptografia simétrica de Json Web Tokens (JWT) assegurando controle de acesso global e rotas verificadas.</w:t>
      </w:r>
    </w:p>
    <w:p w:rsidR="00000000" w:rsidDel="00000000" w:rsidP="00000000" w:rsidRDefault="00000000" w:rsidRPr="00000000" w14:paraId="0000000E">
      <w:pPr>
        <w:rPr/>
      </w:pPr>
      <w:r w:rsidDel="00000000" w:rsidR="00000000" w:rsidRPr="00000000">
        <w:rPr>
          <w:rtl w:val="0"/>
        </w:rPr>
        <w:t xml:space="preserve">Frontend: utilizado a versão Angular 15+, incluindo estilizações responsivas e dark mode aplicados nativamente em interfaces vanilla CSS refinadas baseadas num conceito estético de glassmorphism.</w:t>
      </w:r>
    </w:p>
    <w:p w:rsidR="00000000" w:rsidDel="00000000" w:rsidP="00000000" w:rsidRDefault="00000000" w:rsidRPr="00000000" w14:paraId="0000000F">
      <w:pPr>
        <w:pStyle w:val="Heading1"/>
        <w:jc w:val="left"/>
        <w:rPr/>
      </w:pPr>
      <w:r w:rsidDel="00000000" w:rsidR="00000000" w:rsidRPr="00000000">
        <w:rPr>
          <w:rtl w:val="0"/>
        </w:rPr>
        <w:t xml:space="preserve">3 ARQUITETURA DO SISTEMA</w:t>
      </w:r>
    </w:p>
    <w:p w:rsidR="00000000" w:rsidDel="00000000" w:rsidP="00000000" w:rsidRDefault="00000000" w:rsidRPr="00000000" w14:paraId="00000010">
      <w:pPr>
        <w:rPr/>
      </w:pPr>
      <w:r w:rsidDel="00000000" w:rsidR="00000000" w:rsidRPr="00000000">
        <w:rPr>
          <w:rtl w:val="0"/>
        </w:rPr>
        <w:t xml:space="preserve">A aplicação é dividida de maneira estratégica em duas frentes independentes - Backend e Frontend - interligadas por chamadas de roteamento REST e orquestradas opcionalmente por contêineres Docker visando alta escalabilidade vertical, desempenho contínuo e separação única restrita de responsabilidades.</w:t>
      </w:r>
    </w:p>
    <w:p w:rsidR="00000000" w:rsidDel="00000000" w:rsidP="00000000" w:rsidRDefault="00000000" w:rsidRPr="00000000" w14:paraId="00000011">
      <w:pPr>
        <w:pStyle w:val="Heading2"/>
        <w:rPr/>
      </w:pPr>
      <w:r w:rsidDel="00000000" w:rsidR="00000000" w:rsidRPr="00000000">
        <w:rPr>
          <w:rtl w:val="0"/>
        </w:rPr>
        <w:t xml:space="preserve">3.1 Backend</w:t>
      </w:r>
    </w:p>
    <w:p w:rsidR="00000000" w:rsidDel="00000000" w:rsidP="00000000" w:rsidRDefault="00000000" w:rsidRPr="00000000" w14:paraId="00000012">
      <w:pPr>
        <w:rPr/>
      </w:pPr>
      <w:r w:rsidDel="00000000" w:rsidR="00000000" w:rsidRPr="00000000">
        <w:rPr>
          <w:rtl w:val="0"/>
        </w:rPr>
        <w:t xml:space="preserve">O segmento voltado ao servidor Backend possui um design de projeto arquiteturalmente focado em camadas rigorosas. Este modelo visa assegurar altíssimos níveis de manutenção e escalabilidade do fluxo das rotas da API, implementando com extrema destreza as injeções de dependências ativas viabilizadas pelo construtor Depends do FastAPI. As vertentes incluem os Controllers orientando fluxos periféricos, Services aglomerando intensa regra de domínio, Repositories mediando infraestrutura de banco e os entes estaduais dos Models.</w:t>
      </w:r>
    </w:p>
    <w:p w:rsidR="00000000" w:rsidDel="00000000" w:rsidP="00000000" w:rsidRDefault="00000000" w:rsidRPr="00000000" w14:paraId="00000013">
      <w:pPr>
        <w:pStyle w:val="Heading2"/>
        <w:rPr/>
      </w:pPr>
      <w:r w:rsidDel="00000000" w:rsidR="00000000" w:rsidRPr="00000000">
        <w:rPr>
          <w:rtl w:val="0"/>
        </w:rPr>
        <w:t xml:space="preserve">3.2 Frontend</w:t>
      </w:r>
    </w:p>
    <w:p w:rsidR="00000000" w:rsidDel="00000000" w:rsidP="00000000" w:rsidRDefault="00000000" w:rsidRPr="00000000" w14:paraId="00000014">
      <w:pPr>
        <w:rPr/>
      </w:pPr>
      <w:r w:rsidDel="00000000" w:rsidR="00000000" w:rsidRPr="00000000">
        <w:rPr>
          <w:rtl w:val="0"/>
        </w:rPr>
        <w:t xml:space="preserve">A interface de comunicação Frontend foi minuciosamente materializada em proveito da arquitetura do Angular. O implemento rigoroso e transversal da classe de HttpInterceptors avalia a correta injeção e transição do cabeçalho restrito de autorização Bearer globalmente em qualquer requisição disparada pelo software navegador, aliando padronização e mitigação orgânica de falhas (tratativas centralizadas de instabilidades HTTP).</w:t>
      </w:r>
    </w:p>
    <w:p w:rsidR="00000000" w:rsidDel="00000000" w:rsidP="00000000" w:rsidRDefault="00000000" w:rsidRPr="00000000" w14:paraId="00000015">
      <w:pPr>
        <w:pStyle w:val="Heading1"/>
        <w:rPr/>
      </w:pPr>
      <w:r w:rsidDel="00000000" w:rsidR="00000000" w:rsidRPr="00000000">
        <w:rPr>
          <w:rtl w:val="0"/>
        </w:rPr>
        <w:t xml:space="preserve">4 INSTRUÇÕES DE EXECUÇÃO E IMPLANTAÇÃO</w:t>
      </w:r>
    </w:p>
    <w:p w:rsidR="00000000" w:rsidDel="00000000" w:rsidP="00000000" w:rsidRDefault="00000000" w:rsidRPr="00000000" w14:paraId="00000016">
      <w:pPr>
        <w:pStyle w:val="Heading2"/>
        <w:rPr/>
      </w:pPr>
      <w:r w:rsidDel="00000000" w:rsidR="00000000" w:rsidRPr="00000000">
        <w:rPr>
          <w:rtl w:val="0"/>
        </w:rPr>
        <w:t xml:space="preserve">4.1 Inicialização Sistêmica via Docker Compose</w:t>
      </w:r>
    </w:p>
    <w:p w:rsidR="00000000" w:rsidDel="00000000" w:rsidP="00000000" w:rsidRDefault="00000000" w:rsidRPr="00000000" w14:paraId="00000017">
      <w:pPr>
        <w:rPr/>
      </w:pPr>
      <w:r w:rsidDel="00000000" w:rsidR="00000000" w:rsidRPr="00000000">
        <w:rPr>
          <w:rtl w:val="0"/>
        </w:rPr>
        <w:t xml:space="preserve">Estabelecendo a forma tida como central e recomendada, a virtualização integral propõe subir todo o ecossistema empacotando resoluções numa única vez de forma encapsulada ao ambiente base nativo do operador. Após a entrada pelo prompt de comandos com privilégios cabíveis situado localmente na raiz "CaseItau", o desencadear do comando docker-compose up --build -d levantará os nós vitais e preparará internamente a ligação das redes virtuais envolvidas apontando os endereços expostos em 8080 (UI Visualizer) e 8000 para referências de metadados das docs providas assíncronas do backend.</w:t>
      </w:r>
    </w:p>
    <w:p w:rsidR="00000000" w:rsidDel="00000000" w:rsidP="00000000" w:rsidRDefault="00000000" w:rsidRPr="00000000" w14:paraId="00000018">
      <w:pPr>
        <w:pStyle w:val="Heading2"/>
        <w:rPr/>
      </w:pPr>
      <w:r w:rsidDel="00000000" w:rsidR="00000000" w:rsidRPr="00000000">
        <w:rPr>
          <w:rtl w:val="0"/>
        </w:rPr>
        <w:t xml:space="preserve">4.2 Procedimentos de Montagem Compartimentada e Extensível</w:t>
      </w:r>
    </w:p>
    <w:p w:rsidR="00000000" w:rsidDel="00000000" w:rsidP="00000000" w:rsidRDefault="00000000" w:rsidRPr="00000000" w14:paraId="00000019">
      <w:pPr>
        <w:rPr/>
      </w:pPr>
      <w:r w:rsidDel="00000000" w:rsidR="00000000" w:rsidRPr="00000000">
        <w:rPr>
          <w:rtl w:val="0"/>
        </w:rPr>
        <w:t xml:space="preserve">No panorama dos domínios subjacentes, na extremidade do servidor impera requerer virtual environments ativos antes do despacho das instalações vinculativas de "requirements" gerenciadas pela ferramenta nativa pip. O motor principal do servidor emerge acessível via uvicorn devidamente alimentado de sua configuração baseada num espelho env.</w:t>
      </w:r>
    </w:p>
    <w:p w:rsidR="00000000" w:rsidDel="00000000" w:rsidP="00000000" w:rsidRDefault="00000000" w:rsidRPr="00000000" w14:paraId="0000001A">
      <w:pPr>
        <w:rPr/>
      </w:pPr>
      <w:r w:rsidDel="00000000" w:rsidR="00000000" w:rsidRPr="00000000">
        <w:rPr>
          <w:rtl w:val="0"/>
        </w:rPr>
        <w:t xml:space="preserve">Na esfera interpretativa da apresentação final, o Angular CLI embutido deve invocar os repositórios vitais contidos na especificação de pacote de base (npm install) a fim de liberar o nó mestre observador de reatividade estática invocado sob a prerrogativa local start.</w:t>
      </w:r>
    </w:p>
    <w:p w:rsidR="00000000" w:rsidDel="00000000" w:rsidP="00000000" w:rsidRDefault="00000000" w:rsidRPr="00000000" w14:paraId="0000001B">
      <w:pPr>
        <w:pStyle w:val="Heading1"/>
        <w:rPr/>
      </w:pPr>
      <w:r w:rsidDel="00000000" w:rsidR="00000000" w:rsidRPr="00000000">
        <w:rPr>
          <w:rtl w:val="0"/>
        </w:rPr>
        <w:t xml:space="preserve">5 TESTES UNITÁRIOS E COBERTURA METODOLÓGICA</w:t>
      </w:r>
    </w:p>
    <w:p w:rsidR="00000000" w:rsidDel="00000000" w:rsidP="00000000" w:rsidRDefault="00000000" w:rsidRPr="00000000" w14:paraId="0000001C">
      <w:pPr>
        <w:rPr/>
      </w:pPr>
      <w:r w:rsidDel="00000000" w:rsidR="00000000" w:rsidRPr="00000000">
        <w:rPr>
          <w:rtl w:val="0"/>
        </w:rPr>
        <w:t xml:space="preserve">A base de aplicação backend demonstra estabilidade automatizada contínua por via da cobertura avaliativa do motor Pytest. Todo o leque construtivo baseia certificar que cada algoritmo de preposição e checagem da lógica inerente do Mastermind atue estritamente como pressuposto em regras duradouras. O orquestrador modela de maneira singular e controlada as instâncias vitais sobre bancos limitados de escopo temporário do SQLite operando em memória volátil, anulando danos de colisões para os registros de produção.</w:t>
      </w:r>
    </w:p>
    <w:sectPr>
      <w:pgSz w:h="15840" w:w="12240"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360" w:line="360" w:lineRule="auto"/>
      <w:ind w:firstLine="0"/>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360" w:before="360" w:line="360" w:lineRule="auto"/>
      <w:ind w:firstLine="0"/>
    </w:pPr>
    <w:rPr>
      <w:rFonts w:ascii="Arial" w:cs="Arial" w:eastAsia="Arial" w:hAnsi="Arial"/>
      <w:b w:val="0"/>
      <w:bCs w:val="0"/>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