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i w:val="on"/>
          <w:sz w:val="28"/>
          <w:rFonts w:ascii="New Roman" w:hAnsi="New Roman" w:cs="New Roman" w:eastAsia="New Roman"/>
        </w:rPr>
        <w:t xml:space="preserve">To be able to open encoded documents we have to decode the documents after loading their contents
</w:t>
        <w:t xml:space="preserve">from disk. In a sense, the decoding functionality should extend the file opening functionality (of any
</w:t>
        <w:t xml:space="preserve">possible file format) dynamically if the file is encoded.
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2021-05-11T16:41:31Z</dcterms:created>
  <dc:creator>Apache POI</dc:creator>
</cp:coreProperties>
</file>