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5389" w:rsidRPr="00182CEA" w:rsidRDefault="00327D45">
      <w:pPr>
        <w:rPr>
          <w:b/>
          <w:sz w:val="24"/>
        </w:rPr>
      </w:pPr>
      <w:r w:rsidRPr="00182CEA">
        <w:rPr>
          <w:b/>
          <w:sz w:val="24"/>
        </w:rPr>
        <w:t>Supplément sur la liquidation des biens en cas de décès</w:t>
      </w:r>
    </w:p>
    <w:p w:rsidR="00327D45" w:rsidRDefault="00327D45"/>
    <w:p w:rsidR="00327D45" w:rsidRDefault="00327D45">
      <w:r>
        <w:t>Que se passe-t-il lorsque quelqu’un meurt?</w:t>
      </w:r>
    </w:p>
    <w:p w:rsidR="00182CEA" w:rsidRPr="00182CEA" w:rsidRDefault="00182CEA" w:rsidP="00182CEA">
      <w:pPr>
        <w:ind w:left="708"/>
      </w:pPr>
      <w:r w:rsidRPr="00182CEA">
        <w:t>Lorsqu’une personne décède, tous les biens qu’elle possède se retrouvent dans sa succession. On doit alors procéder à la « liquidation » de cette succession, pour que ses biens soient distribués selon ses volontés.</w:t>
      </w:r>
      <w:r w:rsidR="00EB0DC0">
        <w:t xml:space="preserve"> Les biens se composent d’actifs (+) et de passifs ou dettes (-)</w:t>
      </w:r>
    </w:p>
    <w:p w:rsidR="00182CEA" w:rsidRDefault="00182CEA" w:rsidP="00182CEA">
      <w:pPr>
        <w:pStyle w:val="NormalWeb"/>
        <w:ind w:firstLine="708"/>
        <w:rPr>
          <w:rFonts w:ascii="Arial" w:hAnsi="Arial" w:cs="Arial"/>
          <w:sz w:val="19"/>
          <w:szCs w:val="19"/>
          <w:lang w:val="fr-FR"/>
        </w:rPr>
      </w:pPr>
      <w:r>
        <w:rPr>
          <w:rFonts w:ascii="Arial" w:hAnsi="Arial" w:cs="Arial"/>
          <w:sz w:val="19"/>
          <w:szCs w:val="19"/>
          <w:lang w:val="fr-FR"/>
        </w:rPr>
        <w:t xml:space="preserve">Le </w:t>
      </w:r>
      <w:hyperlink r:id="rId6" w:history="1">
        <w:r>
          <w:rPr>
            <w:rStyle w:val="lev"/>
            <w:rFonts w:ascii="Arial" w:hAnsi="Arial" w:cs="Arial"/>
            <w:color w:val="00AEDB"/>
            <w:sz w:val="19"/>
            <w:szCs w:val="19"/>
            <w:lang w:val="fr-FR"/>
          </w:rPr>
          <w:t>liquidateur</w:t>
        </w:r>
      </w:hyperlink>
      <w:r>
        <w:rPr>
          <w:rFonts w:ascii="Arial" w:hAnsi="Arial" w:cs="Arial"/>
          <w:sz w:val="19"/>
          <w:szCs w:val="19"/>
          <w:lang w:val="fr-FR"/>
        </w:rPr>
        <w:t xml:space="preserve"> est la personne chargée de la liquidation de la succession.</w:t>
      </w:r>
    </w:p>
    <w:p w:rsidR="00327D45" w:rsidRDefault="00327D45" w:rsidP="00182CEA">
      <w:pPr>
        <w:ind w:firstLine="705"/>
      </w:pPr>
      <w:r>
        <w:sym w:font="Wingdings" w:char="F0E0"/>
      </w:r>
      <w:r>
        <w:t xml:space="preserve"> Tous ses biens sont distribués :</w:t>
      </w:r>
    </w:p>
    <w:p w:rsidR="00327D45" w:rsidRDefault="00B514FA" w:rsidP="00327D45">
      <w:pPr>
        <w:pStyle w:val="Paragraphedeliste"/>
        <w:numPr>
          <w:ilvl w:val="0"/>
          <w:numId w:val="1"/>
        </w:numPr>
      </w:pPr>
      <w:r>
        <w:t xml:space="preserve">Succession testamentaire : fait </w:t>
      </w:r>
      <w:r w:rsidR="00327D45">
        <w:t xml:space="preserve"> selon </w:t>
      </w:r>
      <w:r>
        <w:t>un</w:t>
      </w:r>
      <w:r w:rsidR="00327D45">
        <w:t xml:space="preserve"> testament</w:t>
      </w:r>
      <w:r w:rsidR="00182CEA">
        <w:t>,</w:t>
      </w:r>
      <w:r w:rsidR="00327D45">
        <w:t xml:space="preserve"> ou</w:t>
      </w:r>
    </w:p>
    <w:p w:rsidR="00327D45" w:rsidRDefault="00B514FA" w:rsidP="00327D45">
      <w:pPr>
        <w:pStyle w:val="Paragraphedeliste"/>
        <w:numPr>
          <w:ilvl w:val="0"/>
          <w:numId w:val="1"/>
        </w:numPr>
      </w:pPr>
      <w:r>
        <w:t xml:space="preserve">Succession légale : </w:t>
      </w:r>
      <w:r w:rsidR="00327D45">
        <w:t>selon ce qui est prévu par le code civil (voir annexe 1 à la fin de ce document)</w:t>
      </w:r>
      <w:r>
        <w:t xml:space="preserve"> – dans le cas où il n’y a pas de testament</w:t>
      </w:r>
    </w:p>
    <w:p w:rsidR="00327D45" w:rsidRDefault="00327D45" w:rsidP="00182CEA">
      <w:pPr>
        <w:ind w:firstLine="705"/>
      </w:pPr>
      <w:r>
        <w:sym w:font="Wingdings" w:char="F0E0"/>
      </w:r>
      <w:r>
        <w:t xml:space="preserve"> On appelle </w:t>
      </w:r>
      <w:r w:rsidR="00182CEA">
        <w:t>les biens qui seront légués :</w:t>
      </w:r>
      <w:r>
        <w:t xml:space="preserve"> la succession</w:t>
      </w:r>
    </w:p>
    <w:p w:rsidR="00DF755F" w:rsidRDefault="00182CEA" w:rsidP="00327D45">
      <w:r>
        <w:t>Processus :</w:t>
      </w:r>
    </w:p>
    <w:p w:rsidR="00DF755F" w:rsidRDefault="00DF755F" w:rsidP="00182CEA">
      <w:pPr>
        <w:pStyle w:val="Paragraphedeliste"/>
      </w:pPr>
      <w:r>
        <w:t xml:space="preserve">Le liquidateur </w:t>
      </w:r>
      <w:r w:rsidRPr="00DF755F">
        <w:t xml:space="preserve">doit procéder à l'inventaire des biens de la succession. Cet inventaire permet entre autres de savoir si la valeur des </w:t>
      </w:r>
      <w:r w:rsidR="00EB0DC0">
        <w:t>actifs</w:t>
      </w:r>
      <w:r w:rsidRPr="00DF755F">
        <w:t xml:space="preserve"> du défunt </w:t>
      </w:r>
      <w:r w:rsidR="00182CEA" w:rsidRPr="00182CEA">
        <w:t xml:space="preserve">(maison, voiture, compte de banque, REER, etc.) </w:t>
      </w:r>
      <w:r w:rsidRPr="00DF755F">
        <w:t xml:space="preserve">est plus grande que la valeur de ses </w:t>
      </w:r>
      <w:r w:rsidR="00EB0DC0">
        <w:t xml:space="preserve">passifs </w:t>
      </w:r>
      <w:r w:rsidR="00182CEA" w:rsidRPr="00182CEA">
        <w:t xml:space="preserve">(hypothèque, prêts, factures, </w:t>
      </w:r>
      <w:r w:rsidR="00EB0DC0">
        <w:t xml:space="preserve">impôts,  </w:t>
      </w:r>
      <w:r w:rsidR="00182CEA" w:rsidRPr="00182CEA">
        <w:t>etc.)</w:t>
      </w:r>
      <w:r w:rsidRPr="00DF755F">
        <w:t>.</w:t>
      </w:r>
    </w:p>
    <w:p w:rsidR="00DF755F" w:rsidRDefault="00DF755F" w:rsidP="00182CEA">
      <w:pPr>
        <w:ind w:left="708"/>
      </w:pPr>
      <w:r>
        <w:t xml:space="preserve">Les héritiers héritent donc de l’ensemble des </w:t>
      </w:r>
      <w:r w:rsidR="00EB0DC0">
        <w:t>actifs</w:t>
      </w:r>
      <w:r>
        <w:t xml:space="preserve"> (+) et des </w:t>
      </w:r>
      <w:r w:rsidR="00EB0DC0">
        <w:t xml:space="preserve">passifs </w:t>
      </w:r>
      <w:r>
        <w:t xml:space="preserve">(-). S’il y a des </w:t>
      </w:r>
      <w:r w:rsidR="00EB0DC0">
        <w:t>passifs</w:t>
      </w:r>
      <w:r>
        <w:t xml:space="preserve">, les héritiers </w:t>
      </w:r>
      <w:r w:rsidR="00182CEA">
        <w:t>devront</w:t>
      </w:r>
      <w:r>
        <w:t xml:space="preserve"> les assumer.</w:t>
      </w:r>
    </w:p>
    <w:p w:rsidR="00182CEA" w:rsidRDefault="00DF755F" w:rsidP="00182CEA">
      <w:pPr>
        <w:ind w:left="705"/>
      </w:pPr>
      <w:r>
        <w:t xml:space="preserve">Par exemple : Le décédé avait des actifs de 250 000$ (maison, auto, placements…) et des </w:t>
      </w:r>
      <w:r w:rsidR="00EB0DC0">
        <w:t>passifs</w:t>
      </w:r>
      <w:r>
        <w:t xml:space="preserve"> de 50 000$. Les héritiers devront payer les </w:t>
      </w:r>
      <w:r w:rsidR="00EB0DC0">
        <w:t>passifs</w:t>
      </w:r>
      <w:r>
        <w:t xml:space="preserve"> de 50 000$</w:t>
      </w:r>
      <w:r w:rsidR="00182CEA">
        <w:t>.</w:t>
      </w:r>
    </w:p>
    <w:p w:rsidR="00DF755F" w:rsidRDefault="00DF755F" w:rsidP="00182CEA">
      <w:pPr>
        <w:ind w:left="705"/>
      </w:pPr>
      <w:r>
        <w:t xml:space="preserve">À moins que les héritiers refusent la succession. Dans ce cas, les </w:t>
      </w:r>
      <w:r w:rsidR="00EB0DC0">
        <w:t>passifs</w:t>
      </w:r>
      <w:r>
        <w:t xml:space="preserve"> seront payées à même les actifs du décédé et certains passifs pourraient ne pas être complètement remboursés (s’il n’y a pas assez d’argent).</w:t>
      </w:r>
    </w:p>
    <w:p w:rsidR="00DF755F" w:rsidRDefault="00DF755F" w:rsidP="00182CEA">
      <w:pPr>
        <w:ind w:left="705"/>
      </w:pPr>
      <w:r>
        <w:t>Par exemple : Le décédé avait des actifs de 250 000$ (maison, auto, placements…) et des dettes de 300 000$. Les héritiers devraient payer les dettes de 300 000$ pour pouvoir également avoir droit aux actifs de 250 000$. Il serait alors plus judicieux de refuser la succession.</w:t>
      </w:r>
    </w:p>
    <w:p w:rsidR="00327D45" w:rsidRDefault="00182CEA" w:rsidP="00327D45">
      <w:r>
        <w:t>Question :</w:t>
      </w:r>
    </w:p>
    <w:p w:rsidR="00B514FA" w:rsidRDefault="00182CEA" w:rsidP="00182CEA">
      <w:pPr>
        <w:ind w:left="705"/>
      </w:pPr>
      <w:r>
        <w:t>Qu’arrive-t-il s’il le décédé avait une police d’assurance? Le montant d’assurance va-t-il dans la succession? Sert-</w:t>
      </w:r>
      <w:r w:rsidR="00EB0DC0">
        <w:t>il à payer les dettes du décédé?</w:t>
      </w:r>
      <w:bookmarkStart w:id="0" w:name="_GoBack"/>
      <w:bookmarkEnd w:id="0"/>
    </w:p>
    <w:p w:rsidR="00B514FA" w:rsidRDefault="00B514FA" w:rsidP="00327D45">
      <w:r>
        <w:lastRenderedPageBreak/>
        <w:t>Annexe 1 – Règle de partage du patrimoine du code civil (s’applique s’il n’</w:t>
      </w:r>
      <w:r w:rsidR="00182CEA">
        <w:t>y a pas de testam</w:t>
      </w:r>
      <w:r>
        <w:t>ent)</w:t>
      </w:r>
    </w:p>
    <w:p w:rsidR="00327D45" w:rsidRPr="00327D45" w:rsidRDefault="00B514FA" w:rsidP="00327D45">
      <w:r w:rsidRPr="00B514FA">
        <w:rPr>
          <w:noProof/>
          <w:lang w:eastAsia="fr-CA"/>
        </w:rPr>
        <w:drawing>
          <wp:inline distT="0" distB="0" distL="0" distR="0" wp14:anchorId="1B2179C7" wp14:editId="6E4988C7">
            <wp:extent cx="3999506" cy="2987287"/>
            <wp:effectExtent l="0" t="0" r="127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384" cy="2989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7D45" w:rsidRPr="00327D4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625096"/>
    <w:multiLevelType w:val="hybridMultilevel"/>
    <w:tmpl w:val="BCCC80C2"/>
    <w:lvl w:ilvl="0" w:tplc="B1A452AA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BA8503E"/>
    <w:multiLevelType w:val="hybridMultilevel"/>
    <w:tmpl w:val="F3220A66"/>
    <w:lvl w:ilvl="0" w:tplc="66B0C9C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D45"/>
    <w:rsid w:val="00182CEA"/>
    <w:rsid w:val="00327D45"/>
    <w:rsid w:val="00945389"/>
    <w:rsid w:val="00B514FA"/>
    <w:rsid w:val="00DF755F"/>
    <w:rsid w:val="00EB0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7D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14FA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82C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CEA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27D4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514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514FA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182CE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82CEA"/>
    <w:pPr>
      <w:spacing w:after="360" w:line="240" w:lineRule="auto"/>
    </w:pPr>
    <w:rPr>
      <w:rFonts w:ascii="Times New Roman" w:eastAsia="Times New Roman" w:hAnsi="Times New Roman" w:cs="Times New Roman"/>
      <w:sz w:val="24"/>
      <w:szCs w:val="24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92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07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25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472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128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33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923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575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1420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63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02010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98344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2079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caloi.qc.ca/capsules/le-liquidateur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332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Laval</Company>
  <LinksUpToDate>false</LinksUpToDate>
  <CharactersWithSpaces>2158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Isabelle Larouche</dc:creator>
  <cp:lastModifiedBy>Isabelle Larouche</cp:lastModifiedBy>
  <cp:revision>2</cp:revision>
  <cp:lastPrinted>2019-06-10T13:39:00Z</cp:lastPrinted>
  <dcterms:created xsi:type="dcterms:W3CDTF">2019-05-30T18:00:00Z</dcterms:created>
  <dcterms:modified xsi:type="dcterms:W3CDTF">2019-06-10T13:50:00Z</dcterms:modified>
</cp:coreProperties>
</file>