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3DE" w:rsidRPr="00D16FFB" w:rsidRDefault="00356A43" w:rsidP="00356A43">
      <w:pPr>
        <w:jc w:val="center"/>
        <w:rPr>
          <w:b/>
          <w:bCs/>
          <w:sz w:val="32"/>
          <w:szCs w:val="28"/>
        </w:rPr>
      </w:pPr>
      <w:r w:rsidRPr="00D16FFB">
        <w:rPr>
          <w:b/>
          <w:bCs/>
          <w:sz w:val="32"/>
          <w:szCs w:val="28"/>
        </w:rPr>
        <w:t>Projet ATCR</w:t>
      </w:r>
    </w:p>
    <w:p w:rsidR="00356A43" w:rsidRDefault="00356A43" w:rsidP="00356A43">
      <w:pPr>
        <w:jc w:val="both"/>
        <w:rPr>
          <w:u w:val="single"/>
        </w:rPr>
      </w:pPr>
      <w:r w:rsidRPr="00356A43">
        <w:rPr>
          <w:u w:val="single"/>
        </w:rPr>
        <w:t>RAMQ </w:t>
      </w:r>
    </w:p>
    <w:p w:rsidR="00356A43" w:rsidRPr="00D16FFB" w:rsidRDefault="00356A43" w:rsidP="00356A43">
      <w:pPr>
        <w:pStyle w:val="Paragraphedeliste"/>
        <w:numPr>
          <w:ilvl w:val="0"/>
          <w:numId w:val="2"/>
        </w:numPr>
        <w:jc w:val="both"/>
        <w:rPr>
          <w:u w:val="single"/>
        </w:rPr>
      </w:pPr>
      <w:r>
        <w:t xml:space="preserve">Si on réside de façon permanente au Québec, il est </w:t>
      </w:r>
      <w:r>
        <w:rPr>
          <w:b/>
          <w:bCs/>
        </w:rPr>
        <w:t>obligatoire</w:t>
      </w:r>
      <w:r>
        <w:t xml:space="preserve"> d’être couvert par un régime d’assurance médicaments en tout temps.</w:t>
      </w:r>
    </w:p>
    <w:p w:rsidR="00D16FFB" w:rsidRPr="00D16FFB" w:rsidRDefault="00D16FFB" w:rsidP="00D16FFB">
      <w:pPr>
        <w:pStyle w:val="Paragraphedeliste"/>
        <w:jc w:val="both"/>
        <w:rPr>
          <w:u w:val="single"/>
        </w:rPr>
      </w:pPr>
    </w:p>
    <w:p w:rsidR="00D16FFB" w:rsidRPr="00D16FFB" w:rsidRDefault="00D16FFB" w:rsidP="00356A43">
      <w:pPr>
        <w:pStyle w:val="Paragraphedeliste"/>
        <w:numPr>
          <w:ilvl w:val="0"/>
          <w:numId w:val="2"/>
        </w:numPr>
        <w:jc w:val="both"/>
        <w:rPr>
          <w:u w:val="single"/>
        </w:rPr>
      </w:pPr>
      <w:r>
        <w:t>Régime public administré par la RAMQ</w:t>
      </w:r>
    </w:p>
    <w:p w:rsidR="00D16FFB" w:rsidRPr="00D16FFB" w:rsidRDefault="00D16FFB" w:rsidP="00D16FFB">
      <w:pPr>
        <w:pStyle w:val="Paragraphedeliste"/>
        <w:rPr>
          <w:u w:val="single"/>
        </w:rPr>
      </w:pPr>
    </w:p>
    <w:p w:rsidR="00D16FFB" w:rsidRPr="00356A43" w:rsidRDefault="00D16FFB" w:rsidP="00356A43">
      <w:pPr>
        <w:pStyle w:val="Paragraphedeliste"/>
        <w:numPr>
          <w:ilvl w:val="0"/>
          <w:numId w:val="2"/>
        </w:numPr>
        <w:jc w:val="both"/>
        <w:rPr>
          <w:u w:val="single"/>
        </w:rPr>
      </w:pPr>
      <w:r>
        <w:t>Couvre plus de 8000 médicaments. Liste des médicaments régulièrement mise à jour. Possibilités d’exception pour un médicament non écrit dans la liste.</w:t>
      </w:r>
    </w:p>
    <w:p w:rsidR="00356A43" w:rsidRPr="00356A43" w:rsidRDefault="00356A43" w:rsidP="00356A43">
      <w:pPr>
        <w:pStyle w:val="Paragraphedeliste"/>
        <w:jc w:val="both"/>
        <w:rPr>
          <w:u w:val="single"/>
        </w:rPr>
      </w:pPr>
    </w:p>
    <w:p w:rsidR="00356A43" w:rsidRPr="00356A43" w:rsidRDefault="00356A43" w:rsidP="00356A43">
      <w:pPr>
        <w:pStyle w:val="Paragraphedeliste"/>
        <w:numPr>
          <w:ilvl w:val="0"/>
          <w:numId w:val="2"/>
        </w:numPr>
        <w:jc w:val="both"/>
        <w:rPr>
          <w:u w:val="single"/>
        </w:rPr>
      </w:pPr>
      <w:r>
        <w:t xml:space="preserve">Admissibilité : </w:t>
      </w:r>
    </w:p>
    <w:p w:rsidR="00356A43" w:rsidRPr="00356A43" w:rsidRDefault="00356A43" w:rsidP="00356A43">
      <w:pPr>
        <w:pStyle w:val="Paragraphedeliste"/>
        <w:numPr>
          <w:ilvl w:val="1"/>
          <w:numId w:val="4"/>
        </w:numPr>
        <w:jc w:val="both"/>
        <w:rPr>
          <w:u w:val="single"/>
        </w:rPr>
      </w:pPr>
      <w:r>
        <w:t>Ne pas avoir accès à un régime privé</w:t>
      </w:r>
    </w:p>
    <w:p w:rsidR="00356A43" w:rsidRPr="00356A43" w:rsidRDefault="00356A43" w:rsidP="00356A43">
      <w:pPr>
        <w:pStyle w:val="Paragraphedeliste"/>
        <w:numPr>
          <w:ilvl w:val="1"/>
          <w:numId w:val="4"/>
        </w:numPr>
        <w:jc w:val="both"/>
        <w:rPr>
          <w:u w:val="single"/>
        </w:rPr>
      </w:pPr>
      <w:r>
        <w:t>Personnes de 65 ou plus qui n’</w:t>
      </w:r>
      <w:r w:rsidR="00D47BA4">
        <w:t>adhèrent</w:t>
      </w:r>
      <w:r>
        <w:t xml:space="preserve"> pas à un régime privé</w:t>
      </w:r>
    </w:p>
    <w:p w:rsidR="00356A43" w:rsidRPr="00D16FFB" w:rsidRDefault="00356A43" w:rsidP="00356A43">
      <w:pPr>
        <w:pStyle w:val="Paragraphedeliste"/>
        <w:numPr>
          <w:ilvl w:val="1"/>
          <w:numId w:val="4"/>
        </w:numPr>
        <w:jc w:val="both"/>
        <w:rPr>
          <w:u w:val="single"/>
        </w:rPr>
      </w:pPr>
      <w:r>
        <w:t>Quand on est prestataire d’une aide financière de dernier recours (ex :bs), on est automatiquement au régime public d’assurance médicament</w:t>
      </w:r>
    </w:p>
    <w:p w:rsidR="00D16FFB" w:rsidRDefault="00D16FFB" w:rsidP="00D16FFB">
      <w:pPr>
        <w:ind w:left="1860"/>
        <w:jc w:val="both"/>
      </w:pPr>
      <w:r>
        <w:t>On peut aussi y avoir accès si le régime privé offre seulement la couverture complémentaire, c’est-à-dire qui complète le régime public. Cela s’adresse seulement aux personnes de 65 et plus.</w:t>
      </w:r>
    </w:p>
    <w:p w:rsidR="00D16FFB" w:rsidRDefault="00B55A9B" w:rsidP="00D16FFB">
      <w:pPr>
        <w:pStyle w:val="Paragraphedeliste"/>
        <w:numPr>
          <w:ilvl w:val="0"/>
          <w:numId w:val="2"/>
        </w:numPr>
        <w:jc w:val="both"/>
      </w:pPr>
      <w:r>
        <w:t xml:space="preserve">Financement : </w:t>
      </w:r>
    </w:p>
    <w:p w:rsidR="00B55A9B" w:rsidRDefault="00B55A9B" w:rsidP="00B55A9B">
      <w:pPr>
        <w:pStyle w:val="Paragraphedeliste"/>
        <w:numPr>
          <w:ilvl w:val="1"/>
          <w:numId w:val="5"/>
        </w:numPr>
        <w:jc w:val="both"/>
      </w:pPr>
      <w:r>
        <w:t>Prime annuelle perçue par Revenu Québec variable de 0 à 636 $ établie selon la situation et le revenu familial net. Ajustée le 1</w:t>
      </w:r>
      <w:r w:rsidRPr="00B55A9B">
        <w:rPr>
          <w:vertAlign w:val="superscript"/>
        </w:rPr>
        <w:t>er</w:t>
      </w:r>
      <w:r>
        <w:t xml:space="preserve"> juillet chaque année</w:t>
      </w:r>
    </w:p>
    <w:p w:rsidR="00B55A9B" w:rsidRDefault="00B55A9B" w:rsidP="00B55A9B">
      <w:pPr>
        <w:pStyle w:val="Paragraphedeliste"/>
        <w:numPr>
          <w:ilvl w:val="1"/>
          <w:numId w:val="5"/>
        </w:numPr>
        <w:jc w:val="both"/>
      </w:pPr>
      <w:r>
        <w:t>Payable même si on n’achète pas de médicaments.</w:t>
      </w:r>
    </w:p>
    <w:p w:rsidR="00B55A9B" w:rsidRDefault="00B55A9B" w:rsidP="00B55A9B">
      <w:pPr>
        <w:pStyle w:val="Paragraphedeliste"/>
        <w:numPr>
          <w:ilvl w:val="1"/>
          <w:numId w:val="5"/>
        </w:numPr>
        <w:jc w:val="both"/>
      </w:pPr>
      <w:r>
        <w:t>Seulement ceux couverts la payent</w:t>
      </w:r>
    </w:p>
    <w:p w:rsidR="00B55A9B" w:rsidRDefault="00B55A9B" w:rsidP="00B55A9B">
      <w:pPr>
        <w:pStyle w:val="Paragraphedeliste"/>
        <w:numPr>
          <w:ilvl w:val="1"/>
          <w:numId w:val="5"/>
        </w:numPr>
        <w:jc w:val="both"/>
      </w:pPr>
      <w:r>
        <w:t>Possibilité d’être assuré sans frais, comme les enfants des personnes assurées par le régime public de moins de 18 ans.</w:t>
      </w:r>
    </w:p>
    <w:p w:rsidR="00B90FEA" w:rsidRDefault="00B90FEA" w:rsidP="00B90FEA">
      <w:pPr>
        <w:pStyle w:val="Paragraphedeliste"/>
        <w:numPr>
          <w:ilvl w:val="0"/>
          <w:numId w:val="2"/>
        </w:numPr>
        <w:jc w:val="both"/>
      </w:pPr>
      <w:r>
        <w:t>Il y a une franchise de 21,75 $ et une coassurance de 37 %. Limites de 93,08$ par mois, 1117 $ par année.</w:t>
      </w:r>
    </w:p>
    <w:p w:rsidR="00B55A9B" w:rsidRDefault="00B55A9B" w:rsidP="00B55A9B">
      <w:pPr>
        <w:pStyle w:val="Paragraphedeliste"/>
        <w:ind w:left="2160"/>
        <w:jc w:val="both"/>
      </w:pPr>
    </w:p>
    <w:p w:rsidR="00B55A9B" w:rsidRDefault="00B55A9B" w:rsidP="00B55A9B">
      <w:pPr>
        <w:pStyle w:val="Paragraphedeliste"/>
        <w:numPr>
          <w:ilvl w:val="0"/>
          <w:numId w:val="2"/>
        </w:numPr>
        <w:jc w:val="both"/>
      </w:pPr>
      <w:r>
        <w:t>Avantages :</w:t>
      </w:r>
    </w:p>
    <w:p w:rsidR="00B55A9B" w:rsidRDefault="00A956A2" w:rsidP="00B55A9B">
      <w:pPr>
        <w:pStyle w:val="Paragraphedeliste"/>
        <w:numPr>
          <w:ilvl w:val="1"/>
          <w:numId w:val="6"/>
        </w:numPr>
        <w:jc w:val="both"/>
      </w:pPr>
      <w:r>
        <w:t>Tout le monde au Québec est assuré pour les médicaments</w:t>
      </w:r>
    </w:p>
    <w:p w:rsidR="00A956A2" w:rsidRDefault="00A956A2" w:rsidP="00B55A9B">
      <w:pPr>
        <w:pStyle w:val="Paragraphedeliste"/>
        <w:numPr>
          <w:ilvl w:val="1"/>
          <w:numId w:val="6"/>
        </w:numPr>
        <w:jc w:val="both"/>
      </w:pPr>
      <w:r>
        <w:t>Pas compliqué, car le gouvernement ou l’employeur s’en occupe</w:t>
      </w:r>
    </w:p>
    <w:p w:rsidR="00A956A2" w:rsidRDefault="00A956A2" w:rsidP="00B55A9B">
      <w:pPr>
        <w:pStyle w:val="Paragraphedeliste"/>
        <w:numPr>
          <w:ilvl w:val="1"/>
          <w:numId w:val="6"/>
        </w:numPr>
        <w:jc w:val="both"/>
      </w:pPr>
      <w:r>
        <w:t>Prime variable selon le revenu, donc présence d’équité</w:t>
      </w:r>
    </w:p>
    <w:p w:rsidR="005D712A" w:rsidRDefault="005D712A" w:rsidP="005D712A">
      <w:pPr>
        <w:pStyle w:val="Paragraphedeliste"/>
        <w:numPr>
          <w:ilvl w:val="0"/>
          <w:numId w:val="2"/>
        </w:numPr>
        <w:jc w:val="both"/>
      </w:pPr>
      <w:r>
        <w:t xml:space="preserve">Désavantages : </w:t>
      </w:r>
    </w:p>
    <w:p w:rsidR="005D712A" w:rsidRDefault="005D712A" w:rsidP="005D712A">
      <w:pPr>
        <w:pStyle w:val="Paragraphedeliste"/>
        <w:numPr>
          <w:ilvl w:val="1"/>
          <w:numId w:val="7"/>
        </w:numPr>
        <w:jc w:val="both"/>
      </w:pPr>
      <w:r>
        <w:t>Coût des médicaments plus cher que dans les autres provinces</w:t>
      </w:r>
    </w:p>
    <w:p w:rsidR="005D712A" w:rsidRDefault="005D712A" w:rsidP="005D712A">
      <w:pPr>
        <w:pStyle w:val="Paragraphedeliste"/>
        <w:numPr>
          <w:ilvl w:val="1"/>
          <w:numId w:val="7"/>
        </w:numPr>
        <w:jc w:val="both"/>
      </w:pPr>
      <w:r>
        <w:t xml:space="preserve">Clients de </w:t>
      </w:r>
      <w:r w:rsidR="00842F86">
        <w:t>régimes privés</w:t>
      </w:r>
      <w:r>
        <w:t xml:space="preserve"> paient plus cher que ceux du régime public</w:t>
      </w:r>
    </w:p>
    <w:p w:rsidR="00B55A9B" w:rsidRPr="00D16FFB" w:rsidRDefault="00B55A9B" w:rsidP="00B55A9B">
      <w:pPr>
        <w:pStyle w:val="Paragraphedeliste"/>
        <w:ind w:left="2160"/>
        <w:jc w:val="both"/>
      </w:pPr>
    </w:p>
    <w:p w:rsidR="00356A43" w:rsidRPr="00D47BA4" w:rsidRDefault="00D47BA4" w:rsidP="00356A43">
      <w:pPr>
        <w:jc w:val="both"/>
      </w:pPr>
      <w:r>
        <w:t xml:space="preserve">On peut donc en déduire que le régime est </w:t>
      </w:r>
      <w:r w:rsidR="005D712A">
        <w:t xml:space="preserve">relativement </w:t>
      </w:r>
      <w:r>
        <w:t>bon pour la population</w:t>
      </w:r>
    </w:p>
    <w:p w:rsidR="00356A43" w:rsidRPr="00356A43" w:rsidRDefault="00356A43" w:rsidP="00D47BA4">
      <w:pPr>
        <w:jc w:val="both"/>
      </w:pPr>
    </w:p>
    <w:p w:rsidR="00356A43" w:rsidRDefault="00356A43" w:rsidP="00356A43">
      <w:pPr>
        <w:jc w:val="both"/>
        <w:rPr>
          <w:u w:val="single"/>
        </w:rPr>
      </w:pPr>
      <w:r>
        <w:rPr>
          <w:u w:val="single"/>
        </w:rPr>
        <w:t>Conclusion</w:t>
      </w:r>
    </w:p>
    <w:p w:rsidR="00356A43" w:rsidRDefault="00D47BA4" w:rsidP="00356A43">
      <w:pPr>
        <w:jc w:val="both"/>
      </w:pPr>
      <w:r w:rsidRPr="0085342F">
        <w:rPr>
          <w:b/>
          <w:bCs/>
        </w:rPr>
        <w:lastRenderedPageBreak/>
        <w:t>Synthèse</w:t>
      </w:r>
      <w:r w:rsidR="005D712A">
        <w:t> :</w:t>
      </w:r>
      <w:r w:rsidR="0085342F">
        <w:t xml:space="preserve"> Il est très important de </w:t>
      </w:r>
      <w:r w:rsidR="00A06620">
        <w:t>prendre les bonnes décisions pour les Canadiens, autant pour tout de suite que pour le futur. Pour cela, il faudra délaisser les enjeux politiques en lien avec ce programme et se concentrer sur le nœud du problème.</w:t>
      </w:r>
      <w:bookmarkStart w:id="0" w:name="_GoBack"/>
      <w:bookmarkEnd w:id="0"/>
    </w:p>
    <w:p w:rsidR="0085342F" w:rsidRPr="00D47BA4" w:rsidRDefault="0085342F" w:rsidP="00356A43">
      <w:pPr>
        <w:jc w:val="both"/>
      </w:pPr>
      <w:r w:rsidRPr="0085342F">
        <w:rPr>
          <w:b/>
          <w:bCs/>
        </w:rPr>
        <w:t>Ouverture</w:t>
      </w:r>
      <w:r>
        <w:t> : On peut se questionner l’impact de l’implantation d’un programme fédéral sur les régimes</w:t>
      </w:r>
      <w:r w:rsidR="00A06620">
        <w:t xml:space="preserve"> d’assurance médicament</w:t>
      </w:r>
      <w:r>
        <w:t xml:space="preserve"> </w:t>
      </w:r>
      <w:r w:rsidR="00A06620">
        <w:t>au</w:t>
      </w:r>
      <w:r>
        <w:t xml:space="preserve"> Québec. Est-ce qu’on va garder notre propre régime, un peu comme avec la RRQ, ou on va plutôt adhérer au programme fédéral?</w:t>
      </w:r>
    </w:p>
    <w:p w:rsidR="00356A43" w:rsidRDefault="00356A43" w:rsidP="00356A43">
      <w:pPr>
        <w:jc w:val="both"/>
        <w:rPr>
          <w:u w:val="single"/>
        </w:rPr>
      </w:pPr>
      <w:r>
        <w:rPr>
          <w:u w:val="single"/>
        </w:rPr>
        <w:t>Sources</w:t>
      </w:r>
    </w:p>
    <w:p w:rsidR="00356A43" w:rsidRPr="00356A43" w:rsidRDefault="00356A43" w:rsidP="00356A43">
      <w:pPr>
        <w:jc w:val="both"/>
        <w:rPr>
          <w:u w:val="single"/>
        </w:rPr>
      </w:pPr>
      <w:hyperlink r:id="rId5" w:history="1">
        <w:r>
          <w:rPr>
            <w:rStyle w:val="Lienhypertexte"/>
          </w:rPr>
          <w:t>https://www.ramq.gouv.qc.ca/fr/citoyens/assurance-medicaments/Pages/admissibilite.aspx</w:t>
        </w:r>
      </w:hyperlink>
    </w:p>
    <w:sectPr w:rsidR="00356A43" w:rsidRPr="00356A4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14F71"/>
    <w:multiLevelType w:val="hybridMultilevel"/>
    <w:tmpl w:val="BBCE7262"/>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AAA4087"/>
    <w:multiLevelType w:val="hybridMultilevel"/>
    <w:tmpl w:val="914ED1B6"/>
    <w:lvl w:ilvl="0" w:tplc="A8565562">
      <w:start w:val="1"/>
      <w:numFmt w:val="bullet"/>
      <w:lvlText w:val="-"/>
      <w:lvlJc w:val="left"/>
      <w:pPr>
        <w:ind w:left="3384" w:hanging="360"/>
      </w:pPr>
      <w:rPr>
        <w:rFonts w:ascii="Times New Roman" w:eastAsiaTheme="minorHAnsi" w:hAnsi="Times New Roman" w:cs="Times New Roman" w:hint="default"/>
        <w:u w:val="none"/>
      </w:rPr>
    </w:lvl>
    <w:lvl w:ilvl="1" w:tplc="0C0C0003">
      <w:start w:val="1"/>
      <w:numFmt w:val="bullet"/>
      <w:lvlText w:val="o"/>
      <w:lvlJc w:val="left"/>
      <w:pPr>
        <w:ind w:left="2220" w:hanging="360"/>
      </w:pPr>
      <w:rPr>
        <w:rFonts w:ascii="Courier New" w:hAnsi="Courier New" w:cs="Courier New" w:hint="default"/>
      </w:rPr>
    </w:lvl>
    <w:lvl w:ilvl="2" w:tplc="0C0C0005" w:tentative="1">
      <w:start w:val="1"/>
      <w:numFmt w:val="bullet"/>
      <w:lvlText w:val=""/>
      <w:lvlJc w:val="left"/>
      <w:pPr>
        <w:ind w:left="2940" w:hanging="360"/>
      </w:pPr>
      <w:rPr>
        <w:rFonts w:ascii="Wingdings" w:hAnsi="Wingdings" w:hint="default"/>
      </w:rPr>
    </w:lvl>
    <w:lvl w:ilvl="3" w:tplc="0C0C0001" w:tentative="1">
      <w:start w:val="1"/>
      <w:numFmt w:val="bullet"/>
      <w:lvlText w:val=""/>
      <w:lvlJc w:val="left"/>
      <w:pPr>
        <w:ind w:left="3660" w:hanging="360"/>
      </w:pPr>
      <w:rPr>
        <w:rFonts w:ascii="Symbol" w:hAnsi="Symbol" w:hint="default"/>
      </w:rPr>
    </w:lvl>
    <w:lvl w:ilvl="4" w:tplc="0C0C0003" w:tentative="1">
      <w:start w:val="1"/>
      <w:numFmt w:val="bullet"/>
      <w:lvlText w:val="o"/>
      <w:lvlJc w:val="left"/>
      <w:pPr>
        <w:ind w:left="4380" w:hanging="360"/>
      </w:pPr>
      <w:rPr>
        <w:rFonts w:ascii="Courier New" w:hAnsi="Courier New" w:cs="Courier New" w:hint="default"/>
      </w:rPr>
    </w:lvl>
    <w:lvl w:ilvl="5" w:tplc="0C0C0005" w:tentative="1">
      <w:start w:val="1"/>
      <w:numFmt w:val="bullet"/>
      <w:lvlText w:val=""/>
      <w:lvlJc w:val="left"/>
      <w:pPr>
        <w:ind w:left="5100" w:hanging="360"/>
      </w:pPr>
      <w:rPr>
        <w:rFonts w:ascii="Wingdings" w:hAnsi="Wingdings" w:hint="default"/>
      </w:rPr>
    </w:lvl>
    <w:lvl w:ilvl="6" w:tplc="0C0C0001" w:tentative="1">
      <w:start w:val="1"/>
      <w:numFmt w:val="bullet"/>
      <w:lvlText w:val=""/>
      <w:lvlJc w:val="left"/>
      <w:pPr>
        <w:ind w:left="5820" w:hanging="360"/>
      </w:pPr>
      <w:rPr>
        <w:rFonts w:ascii="Symbol" w:hAnsi="Symbol" w:hint="default"/>
      </w:rPr>
    </w:lvl>
    <w:lvl w:ilvl="7" w:tplc="0C0C0003" w:tentative="1">
      <w:start w:val="1"/>
      <w:numFmt w:val="bullet"/>
      <w:lvlText w:val="o"/>
      <w:lvlJc w:val="left"/>
      <w:pPr>
        <w:ind w:left="6540" w:hanging="360"/>
      </w:pPr>
      <w:rPr>
        <w:rFonts w:ascii="Courier New" w:hAnsi="Courier New" w:cs="Courier New" w:hint="default"/>
      </w:rPr>
    </w:lvl>
    <w:lvl w:ilvl="8" w:tplc="0C0C0005" w:tentative="1">
      <w:start w:val="1"/>
      <w:numFmt w:val="bullet"/>
      <w:lvlText w:val=""/>
      <w:lvlJc w:val="left"/>
      <w:pPr>
        <w:ind w:left="7260" w:hanging="360"/>
      </w:pPr>
      <w:rPr>
        <w:rFonts w:ascii="Wingdings" w:hAnsi="Wingdings" w:hint="default"/>
      </w:rPr>
    </w:lvl>
  </w:abstractNum>
  <w:abstractNum w:abstractNumId="2" w15:restartNumberingAfterBreak="0">
    <w:nsid w:val="0D1C17B9"/>
    <w:multiLevelType w:val="hybridMultilevel"/>
    <w:tmpl w:val="B2CA85FE"/>
    <w:lvl w:ilvl="0" w:tplc="A8565562">
      <w:start w:val="1"/>
      <w:numFmt w:val="bullet"/>
      <w:lvlText w:val="-"/>
      <w:lvlJc w:val="left"/>
      <w:pPr>
        <w:ind w:left="3324" w:hanging="360"/>
      </w:pPr>
      <w:rPr>
        <w:rFonts w:ascii="Times New Roman" w:eastAsiaTheme="minorHAnsi" w:hAnsi="Times New Roman" w:cs="Times New Roman" w:hint="default"/>
        <w:u w:val="none"/>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 w15:restartNumberingAfterBreak="0">
    <w:nsid w:val="22D446F2"/>
    <w:multiLevelType w:val="hybridMultilevel"/>
    <w:tmpl w:val="FDB4794A"/>
    <w:lvl w:ilvl="0" w:tplc="A8565562">
      <w:start w:val="1"/>
      <w:numFmt w:val="bullet"/>
      <w:lvlText w:val="-"/>
      <w:lvlJc w:val="left"/>
      <w:pPr>
        <w:ind w:left="3324" w:hanging="360"/>
      </w:pPr>
      <w:rPr>
        <w:rFonts w:ascii="Times New Roman" w:eastAsiaTheme="minorHAnsi" w:hAnsi="Times New Roman" w:cs="Times New Roman" w:hint="default"/>
        <w:u w:val="none"/>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39424E14"/>
    <w:multiLevelType w:val="hybridMultilevel"/>
    <w:tmpl w:val="F5FA4318"/>
    <w:lvl w:ilvl="0" w:tplc="A8565562">
      <w:start w:val="1"/>
      <w:numFmt w:val="bullet"/>
      <w:lvlText w:val="-"/>
      <w:lvlJc w:val="left"/>
      <w:pPr>
        <w:ind w:left="2604" w:hanging="360"/>
      </w:pPr>
      <w:rPr>
        <w:rFonts w:ascii="Times New Roman" w:eastAsiaTheme="minorHAnsi" w:hAnsi="Times New Roman" w:cs="Times New Roman" w:hint="default"/>
        <w:u w:val="none"/>
      </w:rPr>
    </w:lvl>
    <w:lvl w:ilvl="1" w:tplc="0C0C0003" w:tentative="1">
      <w:start w:val="1"/>
      <w:numFmt w:val="bullet"/>
      <w:lvlText w:val="o"/>
      <w:lvlJc w:val="left"/>
      <w:pPr>
        <w:ind w:left="3324" w:hanging="360"/>
      </w:pPr>
      <w:rPr>
        <w:rFonts w:ascii="Courier New" w:hAnsi="Courier New" w:cs="Courier New" w:hint="default"/>
      </w:rPr>
    </w:lvl>
    <w:lvl w:ilvl="2" w:tplc="0C0C0005" w:tentative="1">
      <w:start w:val="1"/>
      <w:numFmt w:val="bullet"/>
      <w:lvlText w:val=""/>
      <w:lvlJc w:val="left"/>
      <w:pPr>
        <w:ind w:left="4044" w:hanging="360"/>
      </w:pPr>
      <w:rPr>
        <w:rFonts w:ascii="Wingdings" w:hAnsi="Wingdings" w:hint="default"/>
      </w:rPr>
    </w:lvl>
    <w:lvl w:ilvl="3" w:tplc="0C0C0001" w:tentative="1">
      <w:start w:val="1"/>
      <w:numFmt w:val="bullet"/>
      <w:lvlText w:val=""/>
      <w:lvlJc w:val="left"/>
      <w:pPr>
        <w:ind w:left="4764" w:hanging="360"/>
      </w:pPr>
      <w:rPr>
        <w:rFonts w:ascii="Symbol" w:hAnsi="Symbol" w:hint="default"/>
      </w:rPr>
    </w:lvl>
    <w:lvl w:ilvl="4" w:tplc="0C0C0003" w:tentative="1">
      <w:start w:val="1"/>
      <w:numFmt w:val="bullet"/>
      <w:lvlText w:val="o"/>
      <w:lvlJc w:val="left"/>
      <w:pPr>
        <w:ind w:left="5484" w:hanging="360"/>
      </w:pPr>
      <w:rPr>
        <w:rFonts w:ascii="Courier New" w:hAnsi="Courier New" w:cs="Courier New" w:hint="default"/>
      </w:rPr>
    </w:lvl>
    <w:lvl w:ilvl="5" w:tplc="0C0C0005" w:tentative="1">
      <w:start w:val="1"/>
      <w:numFmt w:val="bullet"/>
      <w:lvlText w:val=""/>
      <w:lvlJc w:val="left"/>
      <w:pPr>
        <w:ind w:left="6204" w:hanging="360"/>
      </w:pPr>
      <w:rPr>
        <w:rFonts w:ascii="Wingdings" w:hAnsi="Wingdings" w:hint="default"/>
      </w:rPr>
    </w:lvl>
    <w:lvl w:ilvl="6" w:tplc="0C0C0001" w:tentative="1">
      <w:start w:val="1"/>
      <w:numFmt w:val="bullet"/>
      <w:lvlText w:val=""/>
      <w:lvlJc w:val="left"/>
      <w:pPr>
        <w:ind w:left="6924" w:hanging="360"/>
      </w:pPr>
      <w:rPr>
        <w:rFonts w:ascii="Symbol" w:hAnsi="Symbol" w:hint="default"/>
      </w:rPr>
    </w:lvl>
    <w:lvl w:ilvl="7" w:tplc="0C0C0003" w:tentative="1">
      <w:start w:val="1"/>
      <w:numFmt w:val="bullet"/>
      <w:lvlText w:val="o"/>
      <w:lvlJc w:val="left"/>
      <w:pPr>
        <w:ind w:left="7644" w:hanging="360"/>
      </w:pPr>
      <w:rPr>
        <w:rFonts w:ascii="Courier New" w:hAnsi="Courier New" w:cs="Courier New" w:hint="default"/>
      </w:rPr>
    </w:lvl>
    <w:lvl w:ilvl="8" w:tplc="0C0C0005" w:tentative="1">
      <w:start w:val="1"/>
      <w:numFmt w:val="bullet"/>
      <w:lvlText w:val=""/>
      <w:lvlJc w:val="left"/>
      <w:pPr>
        <w:ind w:left="8364" w:hanging="360"/>
      </w:pPr>
      <w:rPr>
        <w:rFonts w:ascii="Wingdings" w:hAnsi="Wingdings" w:hint="default"/>
      </w:rPr>
    </w:lvl>
  </w:abstractNum>
  <w:abstractNum w:abstractNumId="5" w15:restartNumberingAfterBreak="0">
    <w:nsid w:val="3CE978D9"/>
    <w:multiLevelType w:val="hybridMultilevel"/>
    <w:tmpl w:val="FA58B260"/>
    <w:lvl w:ilvl="0" w:tplc="A8565562">
      <w:start w:val="1"/>
      <w:numFmt w:val="bullet"/>
      <w:lvlText w:val="-"/>
      <w:lvlJc w:val="left"/>
      <w:pPr>
        <w:ind w:left="3324" w:hanging="360"/>
      </w:pPr>
      <w:rPr>
        <w:rFonts w:ascii="Times New Roman" w:eastAsiaTheme="minorHAnsi" w:hAnsi="Times New Roman" w:cs="Times New Roman" w:hint="default"/>
        <w:u w:val="none"/>
      </w:rPr>
    </w:lvl>
    <w:lvl w:ilvl="1" w:tplc="0C0C0003">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6" w15:restartNumberingAfterBreak="0">
    <w:nsid w:val="5600105B"/>
    <w:multiLevelType w:val="hybridMultilevel"/>
    <w:tmpl w:val="FF32EDD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1"/>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A43"/>
    <w:rsid w:val="002F43DE"/>
    <w:rsid w:val="00356A43"/>
    <w:rsid w:val="005D712A"/>
    <w:rsid w:val="00842F86"/>
    <w:rsid w:val="0085342F"/>
    <w:rsid w:val="00A06620"/>
    <w:rsid w:val="00A956A2"/>
    <w:rsid w:val="00B55A9B"/>
    <w:rsid w:val="00B90FEA"/>
    <w:rsid w:val="00D16FFB"/>
    <w:rsid w:val="00D47BA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46CF"/>
  <w15:chartTrackingRefBased/>
  <w15:docId w15:val="{F676488E-37D6-4B75-9522-504D3EAF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356A43"/>
    <w:rPr>
      <w:color w:val="0000FF"/>
      <w:u w:val="single"/>
    </w:rPr>
  </w:style>
  <w:style w:type="paragraph" w:styleId="Paragraphedeliste">
    <w:name w:val="List Paragraph"/>
    <w:basedOn w:val="Normal"/>
    <w:uiPriority w:val="34"/>
    <w:qFormat/>
    <w:rsid w:val="00356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amq.gouv.qc.ca/fr/citoyens/assurance-medicaments/Pages/admissibilite.aspx"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366</Words>
  <Characters>2017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Tremblay</dc:creator>
  <cp:keywords/>
  <dc:description/>
  <cp:lastModifiedBy>William Tremblay</cp:lastModifiedBy>
  <cp:revision>8</cp:revision>
  <dcterms:created xsi:type="dcterms:W3CDTF">2020-03-03T16:12:00Z</dcterms:created>
  <dcterms:modified xsi:type="dcterms:W3CDTF">2020-03-03T17:00:00Z</dcterms:modified>
</cp:coreProperties>
</file>