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919" w:rsidRPr="00EA7B61" w:rsidRDefault="00310F7E" w:rsidP="00EA7B61">
      <w:pPr>
        <w:jc w:val="center"/>
        <w:rPr>
          <w:b/>
        </w:rPr>
      </w:pPr>
      <w:bookmarkStart w:id="0" w:name="_GoBack"/>
      <w:bookmarkEnd w:id="0"/>
      <w:r w:rsidRPr="00EA7B61">
        <w:rPr>
          <w:b/>
        </w:rPr>
        <w:t xml:space="preserve">Cas entreprise </w:t>
      </w:r>
      <w:r w:rsidR="00926F6F" w:rsidRPr="00EA7B61">
        <w:rPr>
          <w:b/>
        </w:rPr>
        <w:t xml:space="preserve">services comptables </w:t>
      </w:r>
      <w:r w:rsidR="006A0A69">
        <w:rPr>
          <w:b/>
        </w:rPr>
        <w:t>INTRA</w:t>
      </w:r>
    </w:p>
    <w:p w:rsidR="00F10D73" w:rsidRPr="008A7F37" w:rsidRDefault="00F10D73">
      <w:pPr>
        <w:rPr>
          <w:sz w:val="2"/>
        </w:rPr>
      </w:pPr>
    </w:p>
    <w:p w:rsidR="00A07CFC" w:rsidRDefault="00A07CFC"/>
    <w:p w:rsidR="00F10D73" w:rsidRDefault="00F10D73">
      <w:r>
        <w:t xml:space="preserve">L’entreprise </w:t>
      </w:r>
      <w:r w:rsidR="006A0A69">
        <w:t>INTRA</w:t>
      </w:r>
      <w:r>
        <w:t xml:space="preserve"> fournit des services comptables à plusieurs entreprises. Elle charge des honoraires pour ses services. Au dernier mois de l’exercice 2017, soit du 1</w:t>
      </w:r>
      <w:r w:rsidRPr="00F10D73">
        <w:rPr>
          <w:vertAlign w:val="superscript"/>
        </w:rPr>
        <w:t>er</w:t>
      </w:r>
      <w:r>
        <w:t xml:space="preserve"> au 31 octobre, l’entreprise a effectué les transactions suivantes :</w:t>
      </w:r>
    </w:p>
    <w:p w:rsidR="00F10D73" w:rsidRDefault="00F10D73">
      <w:r>
        <w:t>2/10 –</w:t>
      </w:r>
      <w:r w:rsidR="00D53299">
        <w:t xml:space="preserve"> paiement du loyer du dernier trimestre de l’année (octobre, novembre et décembre) pour 3 000$.</w:t>
      </w:r>
      <w:r>
        <w:t xml:space="preserve"> </w:t>
      </w:r>
    </w:p>
    <w:p w:rsidR="00F10D73" w:rsidRDefault="00F10D73">
      <w:r>
        <w:t>3/10 – r</w:t>
      </w:r>
      <w:r w:rsidR="006D7D47">
        <w:t>ecouvrement de 400$ d’honoraires facturés le 25 septembre</w:t>
      </w:r>
      <w:r>
        <w:t>.</w:t>
      </w:r>
    </w:p>
    <w:p w:rsidR="00F10D73" w:rsidRDefault="00F10D73">
      <w:r>
        <w:t xml:space="preserve">4/10 </w:t>
      </w:r>
      <w:r w:rsidR="00D53299">
        <w:t>–</w:t>
      </w:r>
      <w:r>
        <w:t xml:space="preserve"> </w:t>
      </w:r>
      <w:r w:rsidR="00D53299">
        <w:t>facturation de 200$ d’honoraires.</w:t>
      </w:r>
    </w:p>
    <w:p w:rsidR="00D53299" w:rsidRDefault="00D53299">
      <w:r>
        <w:t>6/10 – achat de fournitures comptant pour 200$.</w:t>
      </w:r>
    </w:p>
    <w:p w:rsidR="00D53299" w:rsidRDefault="00D53299">
      <w:r>
        <w:t>9/10 – Paiement d</w:t>
      </w:r>
      <w:r w:rsidR="00287A4C">
        <w:t>’un</w:t>
      </w:r>
      <w:r>
        <w:t xml:space="preserve"> facture d’électricité de 150$.</w:t>
      </w:r>
    </w:p>
    <w:p w:rsidR="00D53299" w:rsidRDefault="00D53299">
      <w:r>
        <w:t>16/10 – Achat d’un nouvel ordinateur portatif à crédit pour 1 200$.</w:t>
      </w:r>
    </w:p>
    <w:p w:rsidR="00D53299" w:rsidRDefault="008276F0">
      <w:r>
        <w:t xml:space="preserve">18/10 – </w:t>
      </w:r>
      <w:r w:rsidR="00404FB0">
        <w:t xml:space="preserve">facturation et </w:t>
      </w:r>
      <w:r>
        <w:t>réception de 500$ pour honoraires de service rendus.</w:t>
      </w:r>
    </w:p>
    <w:p w:rsidR="008276F0" w:rsidRDefault="008276F0">
      <w:r>
        <w:t xml:space="preserve">20/10 – retrait de 2 000$ de capital du propriétaire, M. </w:t>
      </w:r>
      <w:r w:rsidR="006A0A69">
        <w:t>Pro</w:t>
      </w:r>
      <w:r>
        <w:t>.</w:t>
      </w:r>
    </w:p>
    <w:p w:rsidR="002D2C0D" w:rsidRDefault="002D2C0D">
      <w:r>
        <w:t>20/10 – paiement de la charge salariale de 2 500$.</w:t>
      </w:r>
    </w:p>
    <w:p w:rsidR="008276F0" w:rsidRDefault="008276F0">
      <w:r>
        <w:t xml:space="preserve">23/10 – paiement des frais du </w:t>
      </w:r>
      <w:r w:rsidR="005A3275">
        <w:t xml:space="preserve">traiteur pour le </w:t>
      </w:r>
      <w:r>
        <w:t xml:space="preserve">party d’Halloween de l’entreprise, </w:t>
      </w:r>
      <w:r w:rsidR="005A3275">
        <w:t>3</w:t>
      </w:r>
      <w:r>
        <w:t>00$.</w:t>
      </w:r>
    </w:p>
    <w:p w:rsidR="008276F0" w:rsidRDefault="008276F0">
      <w:r>
        <w:t xml:space="preserve">30/10 – réception de 1 000$ d’honoraires pour les services comptables à rendre </w:t>
      </w:r>
      <w:r w:rsidR="005A3275">
        <w:t>entre le 1er</w:t>
      </w:r>
      <w:r>
        <w:t xml:space="preserve"> novembre et</w:t>
      </w:r>
      <w:r w:rsidR="005A3275">
        <w:t xml:space="preserve"> le 31</w:t>
      </w:r>
      <w:r>
        <w:t xml:space="preserve"> décembre 2017.</w:t>
      </w:r>
    </w:p>
    <w:p w:rsidR="005A3275" w:rsidRDefault="005A3275"/>
    <w:p w:rsidR="008276F0" w:rsidRDefault="005A3275">
      <w:r>
        <w:t>Par ailleurs, nous avons les informations suivantes :</w:t>
      </w:r>
    </w:p>
    <w:p w:rsidR="005A3275" w:rsidRDefault="005A3275" w:rsidP="005A3275">
      <w:pPr>
        <w:pStyle w:val="Paragraphedeliste"/>
        <w:numPr>
          <w:ilvl w:val="0"/>
          <w:numId w:val="1"/>
        </w:numPr>
      </w:pPr>
      <w:r>
        <w:t>Au 31 octobre, un inventaire a permis de déterminer qu’il reste 50$ de fournitures non utilisées.</w:t>
      </w:r>
    </w:p>
    <w:p w:rsidR="005A3275" w:rsidRDefault="00611D42" w:rsidP="005A3275">
      <w:pPr>
        <w:pStyle w:val="Paragraphedeliste"/>
        <w:numPr>
          <w:ilvl w:val="0"/>
          <w:numId w:val="1"/>
        </w:numPr>
      </w:pPr>
      <w:r>
        <w:t>Au 31 octobr</w:t>
      </w:r>
      <w:r w:rsidR="002D2C0D">
        <w:t xml:space="preserve">e, il y a 7 jours de paie </w:t>
      </w:r>
      <w:r w:rsidR="001D32DD">
        <w:t xml:space="preserve">(représentant </w:t>
      </w:r>
      <w:r>
        <w:t>2 000$</w:t>
      </w:r>
      <w:r w:rsidR="001D32DD">
        <w:t>)</w:t>
      </w:r>
      <w:r>
        <w:t xml:space="preserve"> qui seront payés uniquement le 3 novembre 2017.</w:t>
      </w:r>
    </w:p>
    <w:p w:rsidR="00300114" w:rsidRDefault="00300114" w:rsidP="005A3275">
      <w:pPr>
        <w:pStyle w:val="Paragraphedeliste"/>
        <w:numPr>
          <w:ilvl w:val="0"/>
          <w:numId w:val="1"/>
        </w:numPr>
      </w:pPr>
      <w:r>
        <w:t>L’entreprise a signé un effet à recevoir le 1</w:t>
      </w:r>
      <w:r w:rsidRPr="00300114">
        <w:rPr>
          <w:vertAlign w:val="superscript"/>
        </w:rPr>
        <w:t>er</w:t>
      </w:r>
      <w:r>
        <w:t xml:space="preserve"> juin 2017 pour un montant de 5 000$ qui </w:t>
      </w:r>
      <w:r w:rsidR="001D32DD">
        <w:t xml:space="preserve">sera </w:t>
      </w:r>
      <w:r>
        <w:t>recouvrable au 1</w:t>
      </w:r>
      <w:r w:rsidRPr="00300114">
        <w:rPr>
          <w:vertAlign w:val="superscript"/>
        </w:rPr>
        <w:t>er</w:t>
      </w:r>
      <w:r>
        <w:t xml:space="preserve"> juin 2018. Cet effet porte intérêt à 8% par année, pay</w:t>
      </w:r>
      <w:r w:rsidR="00D93245">
        <w:t>able</w:t>
      </w:r>
      <w:r>
        <w:t>s à échéance.</w:t>
      </w:r>
    </w:p>
    <w:p w:rsidR="00EA7B61" w:rsidRDefault="00EA7B61" w:rsidP="005A3275">
      <w:pPr>
        <w:pStyle w:val="Paragraphedeliste"/>
        <w:numPr>
          <w:ilvl w:val="0"/>
          <w:numId w:val="1"/>
        </w:numPr>
      </w:pPr>
      <w:r>
        <w:t xml:space="preserve">L’amortissement de l’année se monte à 1 000$ </w:t>
      </w:r>
      <w:r w:rsidR="007573C6">
        <w:t xml:space="preserve">(incluant celui du nouvel ordinateur) </w:t>
      </w:r>
      <w:r>
        <w:t xml:space="preserve">pour le matériel et </w:t>
      </w:r>
      <w:r w:rsidR="007573C6">
        <w:t>1 1</w:t>
      </w:r>
      <w:r w:rsidR="00F17342">
        <w:t>00$ pour le mobilier</w:t>
      </w:r>
      <w:r>
        <w:t>.</w:t>
      </w:r>
    </w:p>
    <w:p w:rsidR="00650685" w:rsidRDefault="00650685" w:rsidP="00650685">
      <w:r>
        <w:lastRenderedPageBreak/>
        <w:t xml:space="preserve">Les comptes </w:t>
      </w:r>
      <w:r w:rsidR="00611D42">
        <w:t xml:space="preserve">avec leur solde d’ouverture </w:t>
      </w:r>
      <w:r>
        <w:t>sont en annexe.</w:t>
      </w:r>
      <w:r w:rsidR="00EA7B61">
        <w:t xml:space="preserve"> </w:t>
      </w:r>
      <w:r w:rsidR="00D93245">
        <w:t xml:space="preserve">Il est possible que vous deviez ouvrir (créer) d’autres comptes au cours du mois. </w:t>
      </w:r>
      <w:r w:rsidR="00EA7B61">
        <w:t>Lorsqu’il en a le choix, l</w:t>
      </w:r>
      <w:r w:rsidR="00611D42">
        <w:t>e propriétaire qui fait les comptes de l’entr</w:t>
      </w:r>
      <w:r w:rsidR="00404FB0">
        <w:t>eprise,</w:t>
      </w:r>
      <w:r w:rsidR="00611D42">
        <w:t xml:space="preserve"> choisit d’inscrire </w:t>
      </w:r>
      <w:r w:rsidR="00EA7B61">
        <w:t xml:space="preserve">les écritures en </w:t>
      </w:r>
      <w:r w:rsidR="00404FB0">
        <w:t xml:space="preserve">comptes de </w:t>
      </w:r>
      <w:r w:rsidR="00EA7B61">
        <w:t xml:space="preserve">charges ou </w:t>
      </w:r>
      <w:r w:rsidR="00404FB0">
        <w:t>de</w:t>
      </w:r>
      <w:r w:rsidR="00EA7B61">
        <w:t xml:space="preserve"> produits. </w:t>
      </w:r>
    </w:p>
    <w:p w:rsidR="00650685" w:rsidRPr="00D93245" w:rsidRDefault="00650685" w:rsidP="00650685">
      <w:pPr>
        <w:rPr>
          <w:sz w:val="2"/>
        </w:rPr>
      </w:pPr>
    </w:p>
    <w:p w:rsidR="00650685" w:rsidRPr="00404FB0" w:rsidRDefault="00650685" w:rsidP="00650685">
      <w:pPr>
        <w:rPr>
          <w:b/>
          <w:u w:val="single"/>
        </w:rPr>
      </w:pPr>
      <w:r w:rsidRPr="00404FB0">
        <w:rPr>
          <w:b/>
          <w:u w:val="single"/>
        </w:rPr>
        <w:t>Travail à faire :</w:t>
      </w:r>
    </w:p>
    <w:p w:rsidR="00650685" w:rsidRDefault="00986051" w:rsidP="00650685">
      <w:r>
        <w:t>-</w:t>
      </w:r>
      <w:r w:rsidR="00650685">
        <w:t xml:space="preserve">Enregistrer les écritures du mois ainsi que celles de régularisation et de clôture au Journal et au Grand Livre. </w:t>
      </w:r>
      <w:r w:rsidR="00EA7B61">
        <w:t>L’inscription des numéros de comptes et des explications ne sont pas nécessaires.</w:t>
      </w:r>
      <w:r w:rsidR="006A0A69">
        <w:t xml:space="preserve"> Les taxes (TPS et TVQ) doivent être ignorées.</w:t>
      </w:r>
    </w:p>
    <w:p w:rsidR="00650685" w:rsidRDefault="00986051" w:rsidP="00650685">
      <w:r>
        <w:t>-</w:t>
      </w:r>
      <w:r w:rsidR="00650685">
        <w:t>Effectuer les États financiers (sauf l’état des flux de trésorerie).</w:t>
      </w:r>
    </w:p>
    <w:p w:rsidR="00986051" w:rsidRDefault="00986051" w:rsidP="00650685">
      <w:r>
        <w:t xml:space="preserve">-Refaites les écritures </w:t>
      </w:r>
      <w:r w:rsidR="00111D32">
        <w:t xml:space="preserve">du mois et </w:t>
      </w:r>
      <w:r>
        <w:t xml:space="preserve">de régularisation </w:t>
      </w:r>
      <w:r w:rsidR="00A07CFC">
        <w:t xml:space="preserve">au journal </w:t>
      </w:r>
      <w:r>
        <w:t>dans le cas où le propriétaire choisirait d’inscrire les écritures en comptes d’actif et de passif à la place</w:t>
      </w:r>
      <w:r w:rsidR="00A07CFC">
        <w:t xml:space="preserve"> des comptes de charges/produits</w:t>
      </w:r>
      <w:r>
        <w:t>.</w:t>
      </w:r>
    </w:p>
    <w:p w:rsidR="00A07CFC" w:rsidRDefault="00A07CFC" w:rsidP="00650685"/>
    <w:p w:rsidR="00EA7B61" w:rsidRPr="008A7F37" w:rsidRDefault="00EA7B61" w:rsidP="00650685">
      <w:pPr>
        <w:rPr>
          <w:sz w:val="2"/>
        </w:rPr>
      </w:pPr>
    </w:p>
    <w:p w:rsidR="00EA7B61" w:rsidRPr="00EA7B61" w:rsidRDefault="00EA7B61" w:rsidP="00650685">
      <w:pPr>
        <w:rPr>
          <w:b/>
        </w:rPr>
      </w:pPr>
      <w:r w:rsidRPr="00EA7B61">
        <w:rPr>
          <w:b/>
        </w:rPr>
        <w:t>Annexe : comptes et soldes des comptes au 1</w:t>
      </w:r>
      <w:r w:rsidRPr="00EA7B61">
        <w:rPr>
          <w:b/>
          <w:vertAlign w:val="superscript"/>
        </w:rPr>
        <w:t>er</w:t>
      </w:r>
      <w:r w:rsidRPr="00EA7B61">
        <w:rPr>
          <w:b/>
        </w:rPr>
        <w:t xml:space="preserve"> octobre 2017</w:t>
      </w:r>
    </w:p>
    <w:p w:rsidR="00EA7B61" w:rsidRDefault="00EA7B61" w:rsidP="00650685">
      <w:r>
        <w:t xml:space="preserve">Encaisse : solde </w:t>
      </w:r>
      <w:r w:rsidR="006B4DA9">
        <w:t>7</w:t>
      </w:r>
      <w:r>
        <w:t> 657 $</w:t>
      </w:r>
    </w:p>
    <w:p w:rsidR="00EA7B61" w:rsidRDefault="00EA7B61" w:rsidP="00650685">
      <w:r>
        <w:t>Compte clients : 600 $</w:t>
      </w:r>
    </w:p>
    <w:p w:rsidR="00EA7B61" w:rsidRDefault="00EA7B61" w:rsidP="00650685">
      <w:r>
        <w:t>Fournitures</w:t>
      </w:r>
      <w:r w:rsidR="002D2C0D">
        <w:t xml:space="preserve"> non utilisées</w:t>
      </w:r>
      <w:r>
        <w:t xml:space="preserve"> : </w:t>
      </w:r>
      <w:r w:rsidR="00965F2C">
        <w:t>0</w:t>
      </w:r>
      <w:r>
        <w:t>$</w:t>
      </w:r>
    </w:p>
    <w:p w:rsidR="00EA7B61" w:rsidRDefault="00EA7B61" w:rsidP="00650685">
      <w:r>
        <w:t>Matériel : 12 000$</w:t>
      </w:r>
    </w:p>
    <w:p w:rsidR="00EA7B61" w:rsidRDefault="00EA7B61" w:rsidP="00650685">
      <w:r>
        <w:t>Amortissement cumulé du matériel : 2</w:t>
      </w:r>
      <w:r w:rsidR="007573C6">
        <w:t> </w:t>
      </w:r>
      <w:r>
        <w:t>000$</w:t>
      </w:r>
    </w:p>
    <w:p w:rsidR="007573C6" w:rsidRDefault="007573C6" w:rsidP="00650685">
      <w:r>
        <w:t>Mobilier : 25 000$</w:t>
      </w:r>
    </w:p>
    <w:p w:rsidR="007573C6" w:rsidRDefault="007573C6" w:rsidP="00650685">
      <w:r>
        <w:t>Amortissement cumulé du mobilier : 5 500$</w:t>
      </w:r>
    </w:p>
    <w:p w:rsidR="00EA7B61" w:rsidRDefault="00EA7B61" w:rsidP="00650685">
      <w:r>
        <w:t>Effet à recevoir : 5</w:t>
      </w:r>
      <w:r w:rsidR="007573C6">
        <w:t> </w:t>
      </w:r>
      <w:r>
        <w:t>000$</w:t>
      </w:r>
    </w:p>
    <w:p w:rsidR="007573C6" w:rsidRDefault="007573C6" w:rsidP="00650685">
      <w:r>
        <w:t>Assurances payées d’avance : 1 500$ (la police d’assurance viendra à échéance le 1</w:t>
      </w:r>
      <w:r w:rsidRPr="007573C6">
        <w:rPr>
          <w:vertAlign w:val="superscript"/>
        </w:rPr>
        <w:t>er</w:t>
      </w:r>
      <w:r>
        <w:t xml:space="preserve"> mars 2018, le compte n’a pas été modifié depuis le 31 octobre </w:t>
      </w:r>
      <w:r w:rsidRPr="005F05BE">
        <w:rPr>
          <w:b/>
          <w:u w:val="single"/>
        </w:rPr>
        <w:t>2016</w:t>
      </w:r>
      <w:r>
        <w:t>)</w:t>
      </w:r>
    </w:p>
    <w:p w:rsidR="007573C6" w:rsidRDefault="006A0A69" w:rsidP="00650685">
      <w:r>
        <w:t>Fournisseurs : 7</w:t>
      </w:r>
      <w:r w:rsidR="007573C6">
        <w:t>00$</w:t>
      </w:r>
    </w:p>
    <w:p w:rsidR="007573C6" w:rsidRDefault="007573C6" w:rsidP="00650685">
      <w:r>
        <w:t xml:space="preserve">Dette à long terme : </w:t>
      </w:r>
      <w:r w:rsidR="006A0A69">
        <w:t>1</w:t>
      </w:r>
      <w:r w:rsidR="003D0FA2">
        <w:t>7</w:t>
      </w:r>
      <w:r w:rsidR="006A0A69">
        <w:t> 000$</w:t>
      </w:r>
    </w:p>
    <w:p w:rsidR="007573C6" w:rsidRDefault="007573C6" w:rsidP="00650685">
      <w:r>
        <w:t xml:space="preserve">Capital, M. Y : </w:t>
      </w:r>
      <w:r w:rsidR="006A0A69">
        <w:t>2</w:t>
      </w:r>
      <w:r w:rsidR="006B4DA9">
        <w:t>6</w:t>
      </w:r>
      <w:r w:rsidR="006A0A69">
        <w:t> </w:t>
      </w:r>
      <w:r w:rsidR="005F0BB3">
        <w:t>557</w:t>
      </w:r>
      <w:r w:rsidR="006A0A69">
        <w:t>$</w:t>
      </w:r>
      <w:r w:rsidR="00774D68">
        <w:t xml:space="preserve"> (ce montant n’a pas été modifié depuis le </w:t>
      </w:r>
      <w:r w:rsidR="00D12734">
        <w:t>1</w:t>
      </w:r>
      <w:r w:rsidR="00D12734" w:rsidRPr="00D12734">
        <w:rPr>
          <w:vertAlign w:val="superscript"/>
        </w:rPr>
        <w:t>er</w:t>
      </w:r>
      <w:r w:rsidR="00D12734">
        <w:t xml:space="preserve"> novembre</w:t>
      </w:r>
      <w:r w:rsidR="00774D68">
        <w:t xml:space="preserve"> 2016)</w:t>
      </w:r>
    </w:p>
    <w:p w:rsidR="007573C6" w:rsidRDefault="007573C6" w:rsidP="00650685">
      <w:r>
        <w:t>Retraits, M. Y : 0</w:t>
      </w:r>
    </w:p>
    <w:p w:rsidR="007573C6" w:rsidRDefault="002D2C0D" w:rsidP="00650685">
      <w:r>
        <w:lastRenderedPageBreak/>
        <w:t xml:space="preserve">Produits d’honoraires : </w:t>
      </w:r>
      <w:r w:rsidR="00B37659">
        <w:t>121</w:t>
      </w:r>
      <w:r>
        <w:t> 000$</w:t>
      </w:r>
    </w:p>
    <w:p w:rsidR="002D2C0D" w:rsidRDefault="002D2C0D" w:rsidP="00650685">
      <w:r>
        <w:t>Charge locative : 11 000$</w:t>
      </w:r>
    </w:p>
    <w:p w:rsidR="00D53299" w:rsidRDefault="002D2C0D">
      <w:r>
        <w:t>Charge salariale : 110</w:t>
      </w:r>
      <w:r w:rsidR="009222A0">
        <w:t> </w:t>
      </w:r>
      <w:r>
        <w:t>000$</w:t>
      </w:r>
    </w:p>
    <w:sectPr w:rsidR="00D53299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064" w:rsidRDefault="00EB0064" w:rsidP="007573C6">
      <w:pPr>
        <w:spacing w:after="0" w:line="240" w:lineRule="auto"/>
      </w:pPr>
      <w:r>
        <w:separator/>
      </w:r>
    </w:p>
  </w:endnote>
  <w:endnote w:type="continuationSeparator" w:id="0">
    <w:p w:rsidR="00EB0064" w:rsidRDefault="00EB0064" w:rsidP="00757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0560968"/>
      <w:docPartObj>
        <w:docPartGallery w:val="Page Numbers (Bottom of Page)"/>
        <w:docPartUnique/>
      </w:docPartObj>
    </w:sdtPr>
    <w:sdtEndPr/>
    <w:sdtContent>
      <w:p w:rsidR="007573C6" w:rsidRDefault="007573C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F7D" w:rsidRPr="000A3F7D">
          <w:rPr>
            <w:noProof/>
            <w:lang w:val="fr-FR"/>
          </w:rPr>
          <w:t>1</w:t>
        </w:r>
        <w:r>
          <w:fldChar w:fldCharType="end"/>
        </w:r>
      </w:p>
    </w:sdtContent>
  </w:sdt>
  <w:p w:rsidR="007573C6" w:rsidRDefault="007573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064" w:rsidRDefault="00EB0064" w:rsidP="007573C6">
      <w:pPr>
        <w:spacing w:after="0" w:line="240" w:lineRule="auto"/>
      </w:pPr>
      <w:r>
        <w:separator/>
      </w:r>
    </w:p>
  </w:footnote>
  <w:footnote w:type="continuationSeparator" w:id="0">
    <w:p w:rsidR="00EB0064" w:rsidRDefault="00EB0064" w:rsidP="00757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614AC"/>
    <w:multiLevelType w:val="hybridMultilevel"/>
    <w:tmpl w:val="1898DD5A"/>
    <w:lvl w:ilvl="0" w:tplc="BE5671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7E"/>
    <w:rsid w:val="000A3F7D"/>
    <w:rsid w:val="00111D32"/>
    <w:rsid w:val="001D32DD"/>
    <w:rsid w:val="00287A4C"/>
    <w:rsid w:val="002D2C0D"/>
    <w:rsid w:val="00300114"/>
    <w:rsid w:val="00310F7E"/>
    <w:rsid w:val="00312620"/>
    <w:rsid w:val="003261F8"/>
    <w:rsid w:val="00365D36"/>
    <w:rsid w:val="003D0FA2"/>
    <w:rsid w:val="00404FB0"/>
    <w:rsid w:val="005A3275"/>
    <w:rsid w:val="005F05BE"/>
    <w:rsid w:val="005F0BB3"/>
    <w:rsid w:val="00611D42"/>
    <w:rsid w:val="00650685"/>
    <w:rsid w:val="006A0A69"/>
    <w:rsid w:val="006B4DA9"/>
    <w:rsid w:val="006D7D47"/>
    <w:rsid w:val="007573C6"/>
    <w:rsid w:val="00774D68"/>
    <w:rsid w:val="00784BC7"/>
    <w:rsid w:val="00796BAF"/>
    <w:rsid w:val="00813919"/>
    <w:rsid w:val="008276F0"/>
    <w:rsid w:val="00853B0B"/>
    <w:rsid w:val="008A7F37"/>
    <w:rsid w:val="009222A0"/>
    <w:rsid w:val="00926F6F"/>
    <w:rsid w:val="00965F2C"/>
    <w:rsid w:val="00986051"/>
    <w:rsid w:val="00A07CFC"/>
    <w:rsid w:val="00A611FF"/>
    <w:rsid w:val="00B37659"/>
    <w:rsid w:val="00D12734"/>
    <w:rsid w:val="00D53299"/>
    <w:rsid w:val="00D93245"/>
    <w:rsid w:val="00DF6F6C"/>
    <w:rsid w:val="00EA7B61"/>
    <w:rsid w:val="00EB0064"/>
    <w:rsid w:val="00EF7056"/>
    <w:rsid w:val="00F10D73"/>
    <w:rsid w:val="00F1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AB4648-D237-4AB4-93A6-E96AECD0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327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573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73C6"/>
  </w:style>
  <w:style w:type="paragraph" w:styleId="Pieddepage">
    <w:name w:val="footer"/>
    <w:basedOn w:val="Normal"/>
    <w:link w:val="PieddepageCar"/>
    <w:uiPriority w:val="99"/>
    <w:unhideWhenUsed/>
    <w:rsid w:val="007573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FSA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Clémence</dc:creator>
  <cp:lastModifiedBy>Isabelle Lassonde</cp:lastModifiedBy>
  <cp:revision>2</cp:revision>
  <dcterms:created xsi:type="dcterms:W3CDTF">2017-10-22T20:40:00Z</dcterms:created>
  <dcterms:modified xsi:type="dcterms:W3CDTF">2017-10-22T20:40:00Z</dcterms:modified>
</cp:coreProperties>
</file>