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F1A64" w14:textId="3226920A" w:rsidR="002A5814" w:rsidRDefault="002A5814">
      <w:pPr>
        <w:rPr>
          <w:b/>
          <w:bCs/>
        </w:rPr>
      </w:pPr>
      <w:r w:rsidRPr="00847F69">
        <w:rPr>
          <w:b/>
          <w:bCs/>
        </w:rPr>
        <w:t xml:space="preserve">Nom : </w:t>
      </w:r>
      <w:r w:rsidR="00DB045D">
        <w:rPr>
          <w:b/>
          <w:bCs/>
        </w:rPr>
        <w:t>Olivier Bourret</w:t>
      </w:r>
    </w:p>
    <w:p w14:paraId="4E7D8367" w14:textId="2445C295" w:rsidR="00B83FBF" w:rsidRPr="00B83FBF" w:rsidRDefault="00B83FBF">
      <w:r>
        <w:rPr>
          <w:b/>
          <w:bCs/>
        </w:rPr>
        <w:t xml:space="preserve">Activité : </w:t>
      </w:r>
      <w:r w:rsidR="00DB045D">
        <w:rPr>
          <w:b/>
          <w:bCs/>
        </w:rPr>
        <w:t>Semaine 1</w:t>
      </w:r>
      <w:r w:rsidR="00082FC0">
        <w:rPr>
          <w:b/>
          <w:bCs/>
        </w:rPr>
        <w:t>1</w:t>
      </w:r>
      <w:r w:rsidR="00DB045D">
        <w:rPr>
          <w:b/>
          <w:bCs/>
        </w:rPr>
        <w:t xml:space="preserve"> </w:t>
      </w:r>
      <w:r w:rsidR="00082FC0">
        <w:rPr>
          <w:b/>
          <w:bCs/>
        </w:rPr>
        <w:t>–</w:t>
      </w:r>
      <w:r w:rsidR="00DB045D">
        <w:rPr>
          <w:b/>
          <w:bCs/>
        </w:rPr>
        <w:t xml:space="preserve"> </w:t>
      </w:r>
      <w:r w:rsidR="00082FC0">
        <w:t xml:space="preserve">Professeurs Denis </w:t>
      </w:r>
      <w:proofErr w:type="spellStart"/>
      <w:r w:rsidR="00082FC0">
        <w:t>Latulippe</w:t>
      </w:r>
      <w:proofErr w:type="spellEnd"/>
      <w:r w:rsidR="00082FC0">
        <w:t xml:space="preserve"> et Christian Walker : Modèles et éthique</w:t>
      </w:r>
    </w:p>
    <w:p w14:paraId="7380CE6B" w14:textId="75E2D028" w:rsidR="002A5814" w:rsidRPr="002A5814" w:rsidRDefault="002A5814" w:rsidP="002A5814">
      <w:pPr>
        <w:pStyle w:val="Titre1"/>
        <w:rPr>
          <w:sz w:val="28"/>
          <w:szCs w:val="28"/>
          <w:u w:val="single"/>
        </w:rPr>
      </w:pPr>
      <w:r w:rsidRPr="002A5814">
        <w:rPr>
          <w:sz w:val="28"/>
          <w:szCs w:val="28"/>
          <w:u w:val="single"/>
        </w:rPr>
        <w:t>Ce que je retiens des principaux segments</w:t>
      </w:r>
    </w:p>
    <w:p w14:paraId="2D6B2112" w14:textId="332858F3" w:rsidR="00DB045D" w:rsidRPr="00D35E1F" w:rsidRDefault="00082FC0" w:rsidP="00775764">
      <w:pPr>
        <w:jc w:val="both"/>
      </w:pPr>
      <w:r>
        <w:t>Pour résumer ce que j’ai retenu de ces deux conférences pourrait être résumé par la citation de Mark Twain que j’ai vu dans l’excellent film « </w:t>
      </w:r>
      <w:r w:rsidRPr="00082FC0">
        <w:rPr>
          <w:i/>
          <w:iCs/>
        </w:rPr>
        <w:t xml:space="preserve">the </w:t>
      </w:r>
      <w:proofErr w:type="spellStart"/>
      <w:r w:rsidRPr="00082FC0">
        <w:rPr>
          <w:i/>
          <w:iCs/>
        </w:rPr>
        <w:t>big</w:t>
      </w:r>
      <w:proofErr w:type="spellEnd"/>
      <w:r w:rsidRPr="00082FC0">
        <w:rPr>
          <w:i/>
          <w:iCs/>
        </w:rPr>
        <w:t xml:space="preserve"> short</w:t>
      </w:r>
      <w:r>
        <w:rPr>
          <w:i/>
          <w:iCs/>
        </w:rPr>
        <w:t xml:space="preserve"> ». </w:t>
      </w:r>
      <w:r w:rsidRPr="00D35E1F">
        <w:rPr>
          <w:lang w:val="en-US"/>
        </w:rPr>
        <w:t xml:space="preserve">La citation </w:t>
      </w:r>
      <w:proofErr w:type="spellStart"/>
      <w:r w:rsidRPr="00D35E1F">
        <w:rPr>
          <w:lang w:val="en-US"/>
        </w:rPr>
        <w:t>est</w:t>
      </w:r>
      <w:proofErr w:type="spellEnd"/>
      <w:r w:rsidRPr="00D35E1F">
        <w:rPr>
          <w:lang w:val="en-US"/>
        </w:rPr>
        <w:t xml:space="preserve"> la </w:t>
      </w:r>
      <w:proofErr w:type="spellStart"/>
      <w:r w:rsidRPr="00D35E1F">
        <w:rPr>
          <w:lang w:val="en-US"/>
        </w:rPr>
        <w:t>suivante</w:t>
      </w:r>
      <w:proofErr w:type="spellEnd"/>
      <w:r w:rsidRPr="00D35E1F">
        <w:rPr>
          <w:lang w:val="en-US"/>
        </w:rPr>
        <w:t> : « It</w:t>
      </w:r>
      <w:r w:rsidR="00D35E1F" w:rsidRPr="00D35E1F">
        <w:rPr>
          <w:lang w:val="en-US"/>
        </w:rPr>
        <w:t xml:space="preserve"> </w:t>
      </w:r>
      <w:proofErr w:type="spellStart"/>
      <w:r w:rsidR="00D35E1F" w:rsidRPr="00D35E1F">
        <w:rPr>
          <w:lang w:val="en-US"/>
        </w:rPr>
        <w:t>ain’t</w:t>
      </w:r>
      <w:proofErr w:type="spellEnd"/>
      <w:r w:rsidR="00D35E1F" w:rsidRPr="00D35E1F">
        <w:rPr>
          <w:lang w:val="en-US"/>
        </w:rPr>
        <w:t xml:space="preserve"> what you don’t know that gets you into trouble. It’s what you know for sure that just </w:t>
      </w:r>
      <w:proofErr w:type="spellStart"/>
      <w:r w:rsidR="00D35E1F" w:rsidRPr="00D35E1F">
        <w:rPr>
          <w:lang w:val="en-US"/>
        </w:rPr>
        <w:t>ain’t</w:t>
      </w:r>
      <w:proofErr w:type="spellEnd"/>
      <w:r w:rsidR="00D35E1F" w:rsidRPr="00D35E1F">
        <w:rPr>
          <w:lang w:val="en-US"/>
        </w:rPr>
        <w:t xml:space="preserve"> so</w:t>
      </w:r>
      <w:r w:rsidR="00D35E1F">
        <w:rPr>
          <w:lang w:val="en-US"/>
        </w:rPr>
        <w:t xml:space="preserve"> ». </w:t>
      </w:r>
      <w:r w:rsidR="00D35E1F">
        <w:t>Pour une traduction rapide, on dit que ce n’est pas les choses que l’on est incertain qui nous met dans le trouble. C’est plutôt ce que l’on sait avec certitude qui ne l’est tout simplement pas. Professeur Walter a commencé sa conférence en référant au film « </w:t>
      </w:r>
      <w:proofErr w:type="spellStart"/>
      <w:r w:rsidR="00D35E1F">
        <w:t>Margin</w:t>
      </w:r>
      <w:proofErr w:type="spellEnd"/>
      <w:r w:rsidR="00D35E1F">
        <w:t xml:space="preserve"> Call », un film que j’aimerais prendre le temps d’écouter. Ce film fait référence à la crise financière concernant le marché immobilier, tout comme le film « The </w:t>
      </w:r>
      <w:proofErr w:type="spellStart"/>
      <w:r w:rsidR="00D35E1F">
        <w:t>big</w:t>
      </w:r>
      <w:proofErr w:type="spellEnd"/>
      <w:r w:rsidR="00D35E1F">
        <w:t xml:space="preserve"> short », mais d’un point de vue différent. Cette introduction a servi de base pour le sujet de sa conférence, soit à l’intérieur de n’importe quel modèle utilisé, il peut y avoir une bombe à retardement de caché à l’intérieur du modèle. La bombe à retardement, n’est pas un mauvais calcul, </w:t>
      </w:r>
      <w:r w:rsidR="008C3B6D">
        <w:t>une mauvaise conception mathématique, puisque ces modèles sont appuyés de preuves mathématiques rigoureuses. La partie à risque est peut-être ce qu’on prend pour acquis dans le modèle.</w:t>
      </w:r>
    </w:p>
    <w:p w14:paraId="2787269C" w14:textId="14E84707" w:rsidR="00082FC0" w:rsidRPr="00082FC0" w:rsidRDefault="00C32582" w:rsidP="00082FC0">
      <w:pPr>
        <w:pStyle w:val="Titre1"/>
        <w:jc w:val="both"/>
        <w:rPr>
          <w:sz w:val="28"/>
          <w:szCs w:val="28"/>
          <w:u w:val="single"/>
        </w:rPr>
      </w:pPr>
      <w:r>
        <w:rPr>
          <w:sz w:val="28"/>
          <w:szCs w:val="28"/>
          <w:u w:val="single"/>
        </w:rPr>
        <w:t>Ce que j’ai moins bien compris</w:t>
      </w:r>
    </w:p>
    <w:p w14:paraId="1DF3D71D" w14:textId="004A5291" w:rsidR="00C32582" w:rsidRPr="00C32582" w:rsidRDefault="008C3B6D" w:rsidP="00775764">
      <w:pPr>
        <w:jc w:val="both"/>
      </w:pPr>
      <w:r>
        <w:t xml:space="preserve">J’ai moins compris la partie où le professeur Walter discutait de Logos, puisque ce concept fait référence au côté plus philosophique de son expertise et mes derniers cours de philosophie remontent à bien plus loin qu’un étudiant ayant un cheminement dit « régulier ». Selon le Robert, le Logos a deux définitions. La première est un « Être semi-divin, esprit raisonnable », ce qui m’étonnerait d’être la définition à utiliser dans la référence de Professeur Walter. La deuxième définition, qui est </w:t>
      </w:r>
      <w:r w:rsidR="00605EAA">
        <w:t xml:space="preserve">la meilleure selon le contexte est un « Langage en tant qu’instrument de la raison ». Les trois aspects des actes du Logos financier demeurent tout de même flou dans mon esprit, même si j’ai pris le temps de réécouter la partie où Professeur Walter parle des actes locutoire, illocutoire et perlocutoire. Malheureusement, le manque de temps a fait en sorte que des exemples n’ont pas été partagés pour nous permettre de se faire une image de cette situation. </w:t>
      </w:r>
    </w:p>
    <w:p w14:paraId="438E1B7E" w14:textId="52B9B635" w:rsidR="002A5814" w:rsidRPr="002A5814" w:rsidRDefault="002A5814" w:rsidP="00775764">
      <w:pPr>
        <w:pStyle w:val="Titre1"/>
        <w:jc w:val="both"/>
        <w:rPr>
          <w:sz w:val="28"/>
          <w:szCs w:val="28"/>
          <w:u w:val="single"/>
        </w:rPr>
      </w:pPr>
      <w:r w:rsidRPr="002A5814">
        <w:rPr>
          <w:sz w:val="28"/>
          <w:szCs w:val="28"/>
          <w:u w:val="single"/>
        </w:rPr>
        <w:t>Ce que j’ai aimé</w:t>
      </w:r>
      <w:r>
        <w:rPr>
          <w:sz w:val="28"/>
          <w:szCs w:val="28"/>
          <w:u w:val="single"/>
        </w:rPr>
        <w:t xml:space="preserve"> et moin</w:t>
      </w:r>
      <w:r w:rsidR="00EA1665">
        <w:rPr>
          <w:sz w:val="28"/>
          <w:szCs w:val="28"/>
          <w:u w:val="single"/>
        </w:rPr>
        <w:t>s</w:t>
      </w:r>
      <w:r>
        <w:rPr>
          <w:sz w:val="28"/>
          <w:szCs w:val="28"/>
          <w:u w:val="single"/>
        </w:rPr>
        <w:t xml:space="preserve"> aimé</w:t>
      </w:r>
    </w:p>
    <w:p w14:paraId="230C9A49" w14:textId="31A3E79A" w:rsidR="00296B27" w:rsidRDefault="00605EAA" w:rsidP="00775764">
      <w:pPr>
        <w:jc w:val="both"/>
      </w:pPr>
      <w:r>
        <w:t>Après cette présentation, je crois qu’une partie de moi est devenu un fan de P</w:t>
      </w:r>
      <w:r w:rsidR="00104269">
        <w:t>ro</w:t>
      </w:r>
      <w:r>
        <w:t>fesseur Walter. Sa présentation était très pertinente pour nos apprentissages et elle était rempli d’exemples, de références et d’images afin de nous faire bien comprendre son discours. Professeur Walter est une personne qui s’exprime très bien</w:t>
      </w:r>
      <w:r w:rsidR="00894AB0">
        <w:t xml:space="preserve"> et a été en apte à capter toute mon attention lors de sa présentation. Le sujet était très bien préparé, très bien étoffé et comportait plusieurs éléments qui nous amène à réfléchir sur notre rôle en tant que futur actuaire. Je trouve dommage qu’il n’a pas eu plus de temps pour nous expliquer la fin de sa conférence. J’aurais pris les trois heures avec lui sans aucun problème, d’autant plus qu’il était présent jusqu’à la fin.</w:t>
      </w:r>
      <w:r w:rsidR="00403E2F">
        <w:t xml:space="preserve"> J’ai adoré l’exemple de la dinde.</w:t>
      </w:r>
    </w:p>
    <w:p w14:paraId="35E86DA7" w14:textId="1BCBB79C" w:rsidR="00894AB0" w:rsidRPr="002A5814" w:rsidRDefault="00894AB0" w:rsidP="00775764">
      <w:pPr>
        <w:jc w:val="both"/>
      </w:pPr>
      <w:r>
        <w:t xml:space="preserve">Avec tout le respect que j’ai pour Monsieur </w:t>
      </w:r>
      <w:proofErr w:type="spellStart"/>
      <w:r>
        <w:t>Latulippe</w:t>
      </w:r>
      <w:proofErr w:type="spellEnd"/>
      <w:r>
        <w:t xml:space="preserve">, je trouve que sa présentation était la partie faible de la conférence. Ayant déjà eu Monsieur </w:t>
      </w:r>
      <w:proofErr w:type="spellStart"/>
      <w:r>
        <w:t>Latulippe</w:t>
      </w:r>
      <w:proofErr w:type="spellEnd"/>
      <w:r>
        <w:t xml:space="preserve"> comme professeur du cours de gestion des risques financiers 1, je sais qu’il est un bon orateur, qu’il peut être intéressant et captivant. Cependant, je n’ai pas ressenti la même chose lors de sa présentation. En effet, j’ai plus eu l’impression de participer à une présentation de placement de produit (Desjardins) qu’autre chose. Je comprends que son expérience s’est </w:t>
      </w:r>
      <w:r>
        <w:lastRenderedPageBreak/>
        <w:t>faite dans cette coopérative, mais le lien avec la présentation de Professeur Walter était faible. J’aurais personnellement fait deux conférences distinctes.</w:t>
      </w:r>
    </w:p>
    <w:p w14:paraId="7AE1E61A" w14:textId="59B56FC1" w:rsidR="002A5814" w:rsidRDefault="002A5814" w:rsidP="00775764">
      <w:pPr>
        <w:pStyle w:val="Titre1"/>
        <w:jc w:val="both"/>
        <w:rPr>
          <w:sz w:val="28"/>
          <w:szCs w:val="28"/>
          <w:u w:val="single"/>
        </w:rPr>
      </w:pPr>
      <w:r w:rsidRPr="002A5814">
        <w:rPr>
          <w:sz w:val="28"/>
          <w:szCs w:val="28"/>
          <w:u w:val="single"/>
        </w:rPr>
        <w:t>Ce qui m’a étonné</w:t>
      </w:r>
    </w:p>
    <w:p w14:paraId="26A6793F" w14:textId="685DA7EE" w:rsidR="00FE43E2" w:rsidRPr="00FE43E2" w:rsidRDefault="00396ABC" w:rsidP="00775764">
      <w:pPr>
        <w:jc w:val="both"/>
      </w:pPr>
      <w:r>
        <w:t xml:space="preserve">Je crois que le but de la conférence était de nous faire réaliser que l’on doit toujours remettre en question ce que l’on fait, car cela peut comporter des dangers. Cela est bien réussi, car je suis étonné de voir que nous ne sommes aucunement à l’abri de quelconque danger. Que ce soit un modèle mathématique que l’on croit sûr, une manière de faire qui est couramment utilisée dans le domaine, pourrait ne plus s’appliquer à la situation. L’époque dans laquelle nous vivons évolue si rapidement, qu’une théorie, une manière de faire peut être invalidée à partir du moment qu’une nouvelle technologie arrive, un nouvel évènement ou n’importe quelle raison que l’on pourrait croire banale. </w:t>
      </w:r>
    </w:p>
    <w:p w14:paraId="552097CB" w14:textId="7FEEBC18" w:rsidR="002A5814" w:rsidRDefault="002A5814" w:rsidP="00775764">
      <w:pPr>
        <w:pStyle w:val="Titre1"/>
        <w:jc w:val="both"/>
        <w:rPr>
          <w:sz w:val="28"/>
          <w:szCs w:val="28"/>
          <w:u w:val="single"/>
        </w:rPr>
      </w:pPr>
      <w:r w:rsidRPr="002A5814">
        <w:rPr>
          <w:sz w:val="28"/>
          <w:szCs w:val="28"/>
          <w:u w:val="single"/>
        </w:rPr>
        <w:t>Ce qui va m’aider pour ma carrière</w:t>
      </w:r>
    </w:p>
    <w:p w14:paraId="04B2DC29" w14:textId="57B7F12F" w:rsidR="002A5814" w:rsidRDefault="00396ABC" w:rsidP="00775764">
      <w:pPr>
        <w:jc w:val="both"/>
      </w:pPr>
      <w:r>
        <w:t>Ce qui m’a étonné le plus risque d’être l’élément qui apportera la plus à ma carrière. J’avais déjà entendu parler du théorème du signe et j’ai compris qu’il est important de remettre certains principes en questions, mais le rappel avec d’exemples concrets</w:t>
      </w:r>
      <w:r w:rsidR="001354DF">
        <w:t xml:space="preserve"> telle la crise financière de 2008 vient d’ancrer plus profondément cette conception dans ma mentalité. Pour bien comprendre mon point de vue, voici un résumé du théorème du singe.</w:t>
      </w:r>
    </w:p>
    <w:p w14:paraId="3960517D" w14:textId="77777777" w:rsidR="001354DF" w:rsidRDefault="001354DF" w:rsidP="00403E2F">
      <w:pPr>
        <w:ind w:left="284" w:right="429"/>
        <w:jc w:val="both"/>
      </w:pPr>
      <w:r>
        <w:rPr>
          <w:b/>
          <w:bCs/>
        </w:rPr>
        <w:t xml:space="preserve">Théorème du singe : </w:t>
      </w:r>
      <w:r>
        <w:t xml:space="preserve"> Une expérience est faite avec des singes dans un endroit avec des bananes dans le haut d’une échelle. Lorsqu’un singe tante d’atteindre les bananes, les autres singes se font arroser d’eau froide. Rapidement les singes comprennent qu’ils ne doivent pas aller chercher les bananes pour ne pas être arrosé. </w:t>
      </w:r>
    </w:p>
    <w:p w14:paraId="050C8A12" w14:textId="2DC2063C" w:rsidR="001354DF" w:rsidRDefault="001354DF" w:rsidP="00403E2F">
      <w:pPr>
        <w:ind w:left="284" w:right="429"/>
        <w:jc w:val="both"/>
      </w:pPr>
      <w:r>
        <w:t>À partir de ce moment, la douche devient hors fonction et on retire un singe pour en insérer un nouveau. Le nouveau singe ne sachant pas qu’il peut se faire arroser tante d’aller chercher les bananes, mais les autres singes l’attaquent violemment, dans l’espoir de rester au sec. Le nouveau singe comprend qu’il ne doit pas aller chercher les bananes, puisqu’il se fera attaquer.</w:t>
      </w:r>
    </w:p>
    <w:p w14:paraId="0775F172" w14:textId="090DD437" w:rsidR="001354DF" w:rsidRDefault="001354DF" w:rsidP="00403E2F">
      <w:pPr>
        <w:ind w:left="284" w:right="429"/>
        <w:jc w:val="both"/>
      </w:pPr>
      <w:r>
        <w:t xml:space="preserve">Un vieux singe est encore remplacé par un nouveau singe et le même résultat se produit. Il se fait attaquer par les autres singes lorsqu’il tente d’atteindre les bananes. </w:t>
      </w:r>
      <w:r w:rsidR="00403E2F">
        <w:t xml:space="preserve">Ce cycle est répété jusqu’à ce qu’il n’y a plus de singes du début de l’expérience qui était initialement arrosé lorsqu’un singe tentait d’atteindre les bananes. </w:t>
      </w:r>
    </w:p>
    <w:p w14:paraId="7292F142" w14:textId="7F1215F6" w:rsidR="00403E2F" w:rsidRDefault="00403E2F" w:rsidP="00403E2F">
      <w:pPr>
        <w:ind w:left="284" w:right="429"/>
        <w:jc w:val="both"/>
      </w:pPr>
      <w:r>
        <w:t>Puisqu’il ne reste aucun singe qui a été arrosé, on retente de retirer un singe et d’en insérer un nouveau. Encore une fois, le singe tente d’aller chercher les bananes et sauvagement il se fait attaquer par les autres.</w:t>
      </w:r>
    </w:p>
    <w:p w14:paraId="02ACE2B5" w14:textId="77777777" w:rsidR="00403E2F" w:rsidRDefault="00403E2F" w:rsidP="00775764">
      <w:pPr>
        <w:jc w:val="both"/>
      </w:pPr>
      <w:r>
        <w:t xml:space="preserve">On peut conclure de cette fable qu’un évènement du passé, peut influencer la façon de faire d’un groupe de personnes. Est-ce la même chose avec le domaine de l’actuariat? Est-ce qu’on reproduit des éléments qui sont fait depuis si longtemps dans les remettre en question parce que c’est fait de même depuis toujours? Il faut toujours être capable de comprendre pourquoi l’on procède d’une manière. Cette façon de faire pouvait peut-être fonctionner à l’époque, mais elle est possiblement désuet. </w:t>
      </w:r>
    </w:p>
    <w:p w14:paraId="6FE30DD5" w14:textId="77777777" w:rsidR="00361CF0" w:rsidRDefault="00403E2F" w:rsidP="00775764">
      <w:pPr>
        <w:jc w:val="both"/>
      </w:pPr>
      <w:r>
        <w:t>C’est pour cela que pour le restant de ma carrière, je tiens à rester informer sur les méthodes utilisées, comprendre ce qui est fait et suivre l’évolution de</w:t>
      </w:r>
      <w:r w:rsidR="00361CF0">
        <w:t xml:space="preserve"> la société qui peut rendre invalide une façon de procéder appliquée depuis longtemps. Comme il est mentionné dans le document de l’IAA (International </w:t>
      </w:r>
      <w:proofErr w:type="spellStart"/>
      <w:r w:rsidR="00361CF0">
        <w:lastRenderedPageBreak/>
        <w:t>Actuarial</w:t>
      </w:r>
      <w:proofErr w:type="spellEnd"/>
      <w:r w:rsidR="00361CF0">
        <w:t xml:space="preserve"> Association) « Les principes du professionnalisme » qui a été approuvé le 23 janvier 2012, le point 18 sur le perfectionnement professionnel continu , on dit : </w:t>
      </w:r>
    </w:p>
    <w:p w14:paraId="311B336B" w14:textId="74968C74" w:rsidR="00403E2F" w:rsidRDefault="00361CF0" w:rsidP="00361CF0">
      <w:pPr>
        <w:ind w:left="284" w:right="571"/>
        <w:jc w:val="both"/>
      </w:pPr>
      <w:r>
        <w:t>« L’actuaire doit tenir à jour ses connaissances, son savoir-faire et ses compétences pour demeurer bien informé et convenablement expérimenté afin d’être en mesure d’effectuer des travaux d’actuariat dans un domaine particulier. Ce besoin de perfectionnement professionnel continu d’écoule de l’évolution des techniques, des règlements, des normes professionnelles et des code de déontologie. »</w:t>
      </w:r>
    </w:p>
    <w:p w14:paraId="4E972385" w14:textId="55A757F2" w:rsidR="00361CF0" w:rsidRPr="001354DF" w:rsidRDefault="00361CF0" w:rsidP="00361CF0">
      <w:pPr>
        <w:ind w:right="4"/>
        <w:jc w:val="both"/>
      </w:pPr>
      <w:r>
        <w:t>C’est donc de mon devoir de poursuivre une formation en continue avant d’être un actuaire bon pour la poubelle.</w:t>
      </w:r>
    </w:p>
    <w:p w14:paraId="362C1666" w14:textId="4C3D7AC0" w:rsidR="009E5B03" w:rsidRDefault="009E5B03" w:rsidP="00775764">
      <w:pPr>
        <w:pStyle w:val="Titre1"/>
        <w:jc w:val="both"/>
        <w:rPr>
          <w:sz w:val="28"/>
          <w:szCs w:val="28"/>
          <w:u w:val="single"/>
        </w:rPr>
      </w:pPr>
      <w:r>
        <w:rPr>
          <w:sz w:val="28"/>
          <w:szCs w:val="28"/>
          <w:u w:val="single"/>
        </w:rPr>
        <w:t>Réponses aux questions du conférencier</w:t>
      </w:r>
    </w:p>
    <w:p w14:paraId="32D5D77B" w14:textId="07A1D2DD" w:rsidR="009E5B03" w:rsidRDefault="009E5B03" w:rsidP="00775764">
      <w:pPr>
        <w:jc w:val="both"/>
      </w:pPr>
    </w:p>
    <w:p w14:paraId="4B651FD1" w14:textId="156E40CF" w:rsidR="00847F69" w:rsidRDefault="00361CF0" w:rsidP="002A5814">
      <w:pPr>
        <w:rPr>
          <w:b/>
          <w:bCs/>
        </w:rPr>
      </w:pPr>
      <w:r>
        <w:rPr>
          <w:b/>
          <w:bCs/>
        </w:rPr>
        <w:t xml:space="preserve">Aucune  question des </w:t>
      </w:r>
      <w:proofErr w:type="spellStart"/>
      <w:r>
        <w:rPr>
          <w:b/>
          <w:bCs/>
        </w:rPr>
        <w:t>conférienciers</w:t>
      </w:r>
      <w:proofErr w:type="spellEnd"/>
    </w:p>
    <w:p w14:paraId="41B904AA" w14:textId="71F4C1D3" w:rsidR="00361CF0" w:rsidRDefault="00361CF0" w:rsidP="002A5814"/>
    <w:p w14:paraId="55BCB436" w14:textId="77777777" w:rsidR="00361CF0" w:rsidRDefault="00361CF0" w:rsidP="002A5814"/>
    <w:tbl>
      <w:tblPr>
        <w:tblW w:w="8816" w:type="dxa"/>
        <w:tblLook w:val="04A0" w:firstRow="1" w:lastRow="0" w:firstColumn="1" w:lastColumn="0" w:noHBand="0" w:noVBand="1"/>
      </w:tblPr>
      <w:tblGrid>
        <w:gridCol w:w="1298"/>
        <w:gridCol w:w="1132"/>
        <w:gridCol w:w="1132"/>
        <w:gridCol w:w="1133"/>
        <w:gridCol w:w="1132"/>
        <w:gridCol w:w="1132"/>
        <w:gridCol w:w="1133"/>
        <w:gridCol w:w="724"/>
      </w:tblGrid>
      <w:tr w:rsidR="00847F69" w:rsidRPr="00847F69" w14:paraId="6F41E461" w14:textId="77777777" w:rsidTr="00EA1665">
        <w:trPr>
          <w:trHeight w:val="172"/>
        </w:trPr>
        <w:tc>
          <w:tcPr>
            <w:tcW w:w="1298" w:type="dxa"/>
            <w:tcBorders>
              <w:top w:val="nil"/>
              <w:left w:val="nil"/>
              <w:bottom w:val="nil"/>
              <w:right w:val="single" w:sz="4" w:space="0" w:color="auto"/>
            </w:tcBorders>
            <w:shd w:val="clear" w:color="auto" w:fill="auto"/>
            <w:noWrap/>
            <w:vAlign w:val="bottom"/>
            <w:hideMark/>
          </w:tcPr>
          <w:p w14:paraId="79D75946" w14:textId="77777777" w:rsidR="00847F69" w:rsidRPr="00847F69" w:rsidRDefault="00847F69" w:rsidP="00847F69">
            <w:pPr>
              <w:spacing w:after="0" w:line="240" w:lineRule="auto"/>
              <w:rPr>
                <w:rFonts w:ascii="Times New Roman" w:eastAsia="Times New Roman" w:hAnsi="Times New Roman" w:cs="Times New Roman"/>
                <w:sz w:val="24"/>
                <w:szCs w:val="24"/>
              </w:rPr>
            </w:pPr>
          </w:p>
        </w:tc>
        <w:tc>
          <w:tcPr>
            <w:tcW w:w="3397" w:type="dxa"/>
            <w:gridSpan w:val="3"/>
            <w:tcBorders>
              <w:top w:val="single" w:sz="4" w:space="0" w:color="auto"/>
              <w:left w:val="single" w:sz="4" w:space="0" w:color="auto"/>
              <w:bottom w:val="nil"/>
              <w:right w:val="single" w:sz="4" w:space="0" w:color="auto"/>
            </w:tcBorders>
            <w:shd w:val="clear" w:color="000000" w:fill="525252"/>
            <w:noWrap/>
            <w:vAlign w:val="bottom"/>
            <w:hideMark/>
          </w:tcPr>
          <w:p w14:paraId="5588CF8F" w14:textId="77777777" w:rsidR="00847F69" w:rsidRPr="00847F69" w:rsidRDefault="00847F69" w:rsidP="00847F69">
            <w:pPr>
              <w:spacing w:after="0" w:line="240" w:lineRule="auto"/>
              <w:jc w:val="center"/>
              <w:rPr>
                <w:rFonts w:ascii="Calibri" w:eastAsia="Times New Roman" w:hAnsi="Calibri" w:cs="Calibri"/>
                <w:b/>
                <w:bCs/>
                <w:color w:val="FFFFFF"/>
                <w:sz w:val="16"/>
                <w:szCs w:val="16"/>
              </w:rPr>
            </w:pPr>
            <w:r w:rsidRPr="00847F69">
              <w:rPr>
                <w:rFonts w:ascii="Calibri" w:eastAsia="Times New Roman" w:hAnsi="Calibri" w:cs="Calibri"/>
                <w:b/>
                <w:bCs/>
                <w:color w:val="FFFFFF"/>
                <w:sz w:val="16"/>
                <w:szCs w:val="16"/>
              </w:rPr>
              <w:t xml:space="preserve">Préparation individuel </w:t>
            </w:r>
            <w:r w:rsidRPr="00847F69">
              <w:rPr>
                <w:rFonts w:ascii="Calibri" w:eastAsia="Times New Roman" w:hAnsi="Calibri" w:cs="Calibri"/>
                <w:color w:val="FFFFFF"/>
                <w:sz w:val="16"/>
                <w:szCs w:val="16"/>
              </w:rPr>
              <w:t>(60%)</w:t>
            </w:r>
          </w:p>
        </w:tc>
        <w:tc>
          <w:tcPr>
            <w:tcW w:w="3397" w:type="dxa"/>
            <w:gridSpan w:val="3"/>
            <w:tcBorders>
              <w:top w:val="single" w:sz="4" w:space="0" w:color="auto"/>
              <w:left w:val="single" w:sz="4" w:space="0" w:color="auto"/>
              <w:bottom w:val="nil"/>
              <w:right w:val="nil"/>
            </w:tcBorders>
            <w:shd w:val="clear" w:color="000000" w:fill="525252"/>
            <w:noWrap/>
            <w:vAlign w:val="bottom"/>
            <w:hideMark/>
          </w:tcPr>
          <w:p w14:paraId="7C8F87F9" w14:textId="77777777" w:rsidR="00847F69" w:rsidRPr="00847F69" w:rsidRDefault="00847F69" w:rsidP="00847F69">
            <w:pPr>
              <w:spacing w:after="0" w:line="240" w:lineRule="auto"/>
              <w:jc w:val="center"/>
              <w:rPr>
                <w:rFonts w:ascii="Calibri" w:eastAsia="Times New Roman" w:hAnsi="Calibri" w:cs="Calibri"/>
                <w:b/>
                <w:bCs/>
                <w:color w:val="FFFFFF"/>
                <w:sz w:val="16"/>
                <w:szCs w:val="16"/>
              </w:rPr>
            </w:pPr>
            <w:r w:rsidRPr="00847F69">
              <w:rPr>
                <w:rFonts w:ascii="Calibri" w:eastAsia="Times New Roman" w:hAnsi="Calibri" w:cs="Calibri"/>
                <w:b/>
                <w:bCs/>
                <w:color w:val="FFFFFF"/>
                <w:sz w:val="16"/>
                <w:szCs w:val="16"/>
              </w:rPr>
              <w:t xml:space="preserve">Discussion d'équipe </w:t>
            </w:r>
            <w:r w:rsidRPr="00847F69">
              <w:rPr>
                <w:rFonts w:ascii="Calibri" w:eastAsia="Times New Roman" w:hAnsi="Calibri" w:cs="Calibri"/>
                <w:color w:val="FFFFFF"/>
                <w:sz w:val="16"/>
                <w:szCs w:val="16"/>
              </w:rPr>
              <w:t>(40%)</w:t>
            </w:r>
          </w:p>
        </w:tc>
        <w:tc>
          <w:tcPr>
            <w:tcW w:w="724" w:type="dxa"/>
            <w:vMerge w:val="restart"/>
            <w:tcBorders>
              <w:top w:val="single" w:sz="4" w:space="0" w:color="auto"/>
              <w:left w:val="single" w:sz="4" w:space="0" w:color="auto"/>
              <w:bottom w:val="single" w:sz="4" w:space="0" w:color="auto"/>
              <w:right w:val="single" w:sz="4" w:space="0" w:color="auto"/>
            </w:tcBorders>
            <w:shd w:val="clear" w:color="000000" w:fill="525252"/>
            <w:vAlign w:val="center"/>
            <w:hideMark/>
          </w:tcPr>
          <w:p w14:paraId="2960524C" w14:textId="77777777" w:rsidR="00847F69" w:rsidRPr="00847F69" w:rsidRDefault="00847F69" w:rsidP="00847F69">
            <w:pPr>
              <w:spacing w:after="0" w:line="240" w:lineRule="auto"/>
              <w:jc w:val="center"/>
              <w:rPr>
                <w:rFonts w:ascii="Calibri" w:eastAsia="Times New Roman" w:hAnsi="Calibri" w:cs="Calibri"/>
                <w:b/>
                <w:bCs/>
                <w:color w:val="FFFFFF"/>
                <w:sz w:val="16"/>
                <w:szCs w:val="16"/>
              </w:rPr>
            </w:pPr>
            <w:r w:rsidRPr="00847F69">
              <w:rPr>
                <w:rFonts w:ascii="Calibri" w:eastAsia="Times New Roman" w:hAnsi="Calibri" w:cs="Calibri"/>
                <w:b/>
                <w:bCs/>
                <w:color w:val="FFFFFF"/>
                <w:sz w:val="16"/>
                <w:szCs w:val="16"/>
              </w:rPr>
              <w:t>Total</w:t>
            </w:r>
          </w:p>
        </w:tc>
      </w:tr>
      <w:tr w:rsidR="00847F69" w:rsidRPr="00847F69" w14:paraId="4146CB2F" w14:textId="77777777" w:rsidTr="00E4304D">
        <w:trPr>
          <w:trHeight w:val="517"/>
        </w:trPr>
        <w:tc>
          <w:tcPr>
            <w:tcW w:w="1298" w:type="dxa"/>
            <w:tcBorders>
              <w:top w:val="nil"/>
              <w:left w:val="nil"/>
              <w:bottom w:val="nil"/>
              <w:right w:val="nil"/>
            </w:tcBorders>
            <w:shd w:val="clear" w:color="auto" w:fill="auto"/>
            <w:noWrap/>
            <w:vAlign w:val="bottom"/>
            <w:hideMark/>
          </w:tcPr>
          <w:p w14:paraId="4DE354F9" w14:textId="77777777" w:rsidR="00847F69" w:rsidRPr="00847F69" w:rsidRDefault="00847F69" w:rsidP="00847F69">
            <w:pPr>
              <w:spacing w:after="0" w:line="240" w:lineRule="auto"/>
              <w:jc w:val="center"/>
              <w:rPr>
                <w:rFonts w:ascii="Calibri" w:eastAsia="Times New Roman" w:hAnsi="Calibri" w:cs="Calibri"/>
                <w:b/>
                <w:bCs/>
                <w:color w:val="FFFFFF"/>
                <w:sz w:val="16"/>
                <w:szCs w:val="16"/>
              </w:rPr>
            </w:pPr>
          </w:p>
        </w:tc>
        <w:tc>
          <w:tcPr>
            <w:tcW w:w="1132"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253FB87D"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Présence à la conférence</w:t>
            </w:r>
            <w:r w:rsidRPr="00847F69">
              <w:rPr>
                <w:rFonts w:ascii="Calibri" w:eastAsia="Times New Roman" w:hAnsi="Calibri" w:cs="Calibri"/>
                <w:color w:val="000000"/>
                <w:sz w:val="16"/>
                <w:szCs w:val="16"/>
              </w:rPr>
              <w:br/>
              <w:t>/10</w:t>
            </w:r>
          </w:p>
        </w:tc>
        <w:tc>
          <w:tcPr>
            <w:tcW w:w="1132" w:type="dxa"/>
            <w:tcBorders>
              <w:top w:val="single" w:sz="4" w:space="0" w:color="auto"/>
              <w:left w:val="nil"/>
              <w:bottom w:val="single" w:sz="4" w:space="0" w:color="auto"/>
              <w:right w:val="single" w:sz="4" w:space="0" w:color="auto"/>
            </w:tcBorders>
            <w:shd w:val="clear" w:color="000000" w:fill="AEAAAA"/>
            <w:vAlign w:val="center"/>
            <w:hideMark/>
          </w:tcPr>
          <w:p w14:paraId="189559B2"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Lecture des documents</w:t>
            </w:r>
            <w:r w:rsidRPr="00847F69">
              <w:rPr>
                <w:rFonts w:ascii="Calibri" w:eastAsia="Times New Roman" w:hAnsi="Calibri" w:cs="Calibri"/>
                <w:color w:val="000000"/>
                <w:sz w:val="16"/>
                <w:szCs w:val="16"/>
              </w:rPr>
              <w:br/>
              <w:t>/20</w:t>
            </w:r>
          </w:p>
        </w:tc>
        <w:tc>
          <w:tcPr>
            <w:tcW w:w="1133" w:type="dxa"/>
            <w:tcBorders>
              <w:top w:val="single" w:sz="4" w:space="0" w:color="auto"/>
              <w:left w:val="nil"/>
              <w:bottom w:val="single" w:sz="4" w:space="0" w:color="auto"/>
              <w:right w:val="single" w:sz="4" w:space="0" w:color="auto"/>
            </w:tcBorders>
            <w:shd w:val="clear" w:color="000000" w:fill="AEAAAA"/>
            <w:vAlign w:val="center"/>
            <w:hideMark/>
          </w:tcPr>
          <w:p w14:paraId="349EC3AD"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Rapport de préparation individuelle</w:t>
            </w:r>
            <w:r w:rsidRPr="00847F69">
              <w:rPr>
                <w:rFonts w:ascii="Calibri" w:eastAsia="Times New Roman" w:hAnsi="Calibri" w:cs="Calibri"/>
                <w:color w:val="000000"/>
                <w:sz w:val="16"/>
                <w:szCs w:val="16"/>
              </w:rPr>
              <w:br/>
              <w:t>/30</w:t>
            </w:r>
          </w:p>
        </w:tc>
        <w:tc>
          <w:tcPr>
            <w:tcW w:w="1132" w:type="dxa"/>
            <w:tcBorders>
              <w:top w:val="single" w:sz="4" w:space="0" w:color="auto"/>
              <w:left w:val="nil"/>
              <w:bottom w:val="single" w:sz="4" w:space="0" w:color="auto"/>
              <w:right w:val="single" w:sz="4" w:space="0" w:color="auto"/>
            </w:tcBorders>
            <w:shd w:val="clear" w:color="000000" w:fill="AEAAAA"/>
            <w:vAlign w:val="center"/>
            <w:hideMark/>
          </w:tcPr>
          <w:p w14:paraId="49C59EA9"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Présence à la réunion</w:t>
            </w:r>
            <w:r w:rsidRPr="00847F69">
              <w:rPr>
                <w:rFonts w:ascii="Calibri" w:eastAsia="Times New Roman" w:hAnsi="Calibri" w:cs="Calibri"/>
                <w:color w:val="000000"/>
                <w:sz w:val="16"/>
                <w:szCs w:val="16"/>
              </w:rPr>
              <w:br/>
              <w:t>/10</w:t>
            </w:r>
          </w:p>
        </w:tc>
        <w:tc>
          <w:tcPr>
            <w:tcW w:w="1132" w:type="dxa"/>
            <w:tcBorders>
              <w:top w:val="single" w:sz="4" w:space="0" w:color="auto"/>
              <w:left w:val="nil"/>
              <w:bottom w:val="single" w:sz="4" w:space="0" w:color="auto"/>
              <w:right w:val="single" w:sz="4" w:space="0" w:color="auto"/>
            </w:tcBorders>
            <w:shd w:val="clear" w:color="000000" w:fill="AEAAAA"/>
            <w:vAlign w:val="center"/>
            <w:hideMark/>
          </w:tcPr>
          <w:p w14:paraId="3D6498EE"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Participation active</w:t>
            </w:r>
            <w:r w:rsidRPr="00847F69">
              <w:rPr>
                <w:rFonts w:ascii="Calibri" w:eastAsia="Times New Roman" w:hAnsi="Calibri" w:cs="Calibri"/>
                <w:color w:val="000000"/>
                <w:sz w:val="16"/>
                <w:szCs w:val="16"/>
              </w:rPr>
              <w:br/>
              <w:t>/20</w:t>
            </w:r>
          </w:p>
        </w:tc>
        <w:tc>
          <w:tcPr>
            <w:tcW w:w="1133" w:type="dxa"/>
            <w:tcBorders>
              <w:top w:val="single" w:sz="4" w:space="0" w:color="auto"/>
              <w:left w:val="nil"/>
              <w:bottom w:val="single" w:sz="4" w:space="0" w:color="auto"/>
              <w:right w:val="nil"/>
            </w:tcBorders>
            <w:shd w:val="clear" w:color="000000" w:fill="AEAAAA"/>
            <w:vAlign w:val="center"/>
            <w:hideMark/>
          </w:tcPr>
          <w:p w14:paraId="574BACA4" w14:textId="77777777" w:rsidR="00847F69" w:rsidRPr="00847F69" w:rsidRDefault="00847F69" w:rsidP="00847F69">
            <w:pPr>
              <w:spacing w:after="0" w:line="240" w:lineRule="auto"/>
              <w:jc w:val="center"/>
              <w:rPr>
                <w:rFonts w:ascii="Calibri" w:eastAsia="Times New Roman" w:hAnsi="Calibri" w:cs="Calibri"/>
                <w:color w:val="000000"/>
                <w:sz w:val="16"/>
                <w:szCs w:val="16"/>
              </w:rPr>
            </w:pPr>
            <w:r w:rsidRPr="00847F69">
              <w:rPr>
                <w:rFonts w:ascii="Calibri" w:eastAsia="Times New Roman" w:hAnsi="Calibri" w:cs="Calibri"/>
                <w:color w:val="000000"/>
                <w:sz w:val="16"/>
                <w:szCs w:val="16"/>
              </w:rPr>
              <w:t>Attitude positive</w:t>
            </w:r>
            <w:r w:rsidRPr="00847F69">
              <w:rPr>
                <w:rFonts w:ascii="Calibri" w:eastAsia="Times New Roman" w:hAnsi="Calibri" w:cs="Calibri"/>
                <w:color w:val="000000"/>
                <w:sz w:val="16"/>
                <w:szCs w:val="16"/>
              </w:rPr>
              <w:br/>
              <w:t>/10</w:t>
            </w:r>
          </w:p>
        </w:tc>
        <w:tc>
          <w:tcPr>
            <w:tcW w:w="724" w:type="dxa"/>
            <w:vMerge/>
            <w:tcBorders>
              <w:top w:val="single" w:sz="4" w:space="0" w:color="auto"/>
              <w:left w:val="single" w:sz="4" w:space="0" w:color="auto"/>
              <w:bottom w:val="single" w:sz="4" w:space="0" w:color="auto"/>
              <w:right w:val="single" w:sz="4" w:space="0" w:color="auto"/>
            </w:tcBorders>
            <w:vAlign w:val="center"/>
            <w:hideMark/>
          </w:tcPr>
          <w:p w14:paraId="0D2AE2AD" w14:textId="77777777" w:rsidR="00847F69" w:rsidRPr="00847F69" w:rsidRDefault="00847F69" w:rsidP="00847F69">
            <w:pPr>
              <w:spacing w:after="0" w:line="240" w:lineRule="auto"/>
              <w:rPr>
                <w:rFonts w:ascii="Calibri" w:eastAsia="Times New Roman" w:hAnsi="Calibri" w:cs="Calibri"/>
                <w:b/>
                <w:bCs/>
                <w:color w:val="FFFFFF"/>
                <w:sz w:val="16"/>
                <w:szCs w:val="16"/>
              </w:rPr>
            </w:pPr>
          </w:p>
        </w:tc>
      </w:tr>
      <w:tr w:rsidR="00847F69" w:rsidRPr="00847F69" w14:paraId="4E949E73" w14:textId="77777777" w:rsidTr="00B83FBF">
        <w:trPr>
          <w:trHeight w:val="301"/>
        </w:trPr>
        <w:tc>
          <w:tcPr>
            <w:tcW w:w="1298"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53ED96BA" w14:textId="77777777" w:rsidR="00847F69" w:rsidRPr="00847F69" w:rsidRDefault="00847F69" w:rsidP="00847F69">
            <w:pPr>
              <w:spacing w:after="0" w:line="240" w:lineRule="auto"/>
              <w:jc w:val="center"/>
              <w:rPr>
                <w:rFonts w:ascii="Calibri" w:eastAsia="Times New Roman" w:hAnsi="Calibri" w:cs="Calibri"/>
                <w:b/>
                <w:bCs/>
                <w:color w:val="000000"/>
                <w:sz w:val="16"/>
                <w:szCs w:val="16"/>
              </w:rPr>
            </w:pPr>
            <w:r w:rsidRPr="00847F69">
              <w:rPr>
                <w:rFonts w:ascii="Calibri" w:eastAsia="Times New Roman" w:hAnsi="Calibri" w:cs="Calibri"/>
                <w:b/>
                <w:bCs/>
                <w:color w:val="000000"/>
                <w:sz w:val="16"/>
                <w:szCs w:val="16"/>
              </w:rPr>
              <w:t>Auto-évaluation</w:t>
            </w:r>
            <w:r w:rsidRPr="00847F69">
              <w:rPr>
                <w:rFonts w:ascii="Calibri" w:eastAsia="Times New Roman" w:hAnsi="Calibri" w:cs="Calibri"/>
                <w:b/>
                <w:bCs/>
                <w:color w:val="000000"/>
                <w:sz w:val="16"/>
                <w:szCs w:val="16"/>
              </w:rPr>
              <w:br/>
            </w:r>
            <w:r w:rsidRPr="00847F69">
              <w:rPr>
                <w:rFonts w:ascii="Calibri" w:eastAsia="Times New Roman" w:hAnsi="Calibri" w:cs="Calibri"/>
                <w:color w:val="000000"/>
                <w:sz w:val="16"/>
                <w:szCs w:val="16"/>
              </w:rPr>
              <w:t>(20%)</w:t>
            </w:r>
          </w:p>
        </w:tc>
        <w:tc>
          <w:tcPr>
            <w:tcW w:w="1132" w:type="dxa"/>
            <w:tcBorders>
              <w:top w:val="nil"/>
              <w:left w:val="nil"/>
              <w:bottom w:val="single" w:sz="4" w:space="0" w:color="auto"/>
              <w:right w:val="single" w:sz="4" w:space="0" w:color="auto"/>
            </w:tcBorders>
            <w:shd w:val="clear" w:color="000000" w:fill="EDEDED"/>
            <w:noWrap/>
            <w:vAlign w:val="center"/>
          </w:tcPr>
          <w:p w14:paraId="5CBC3071" w14:textId="47A38103"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1132" w:type="dxa"/>
            <w:tcBorders>
              <w:top w:val="nil"/>
              <w:left w:val="nil"/>
              <w:bottom w:val="single" w:sz="4" w:space="0" w:color="auto"/>
              <w:right w:val="single" w:sz="4" w:space="0" w:color="auto"/>
            </w:tcBorders>
            <w:shd w:val="clear" w:color="000000" w:fill="EDEDED"/>
            <w:noWrap/>
            <w:vAlign w:val="center"/>
          </w:tcPr>
          <w:p w14:paraId="3A9B34D8" w14:textId="61DF2E73"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w:t>
            </w:r>
            <w:r w:rsidR="00BA76F9">
              <w:rPr>
                <w:rFonts w:ascii="Calibri" w:eastAsia="Times New Roman" w:hAnsi="Calibri" w:cs="Calibri"/>
                <w:color w:val="000000"/>
                <w:sz w:val="16"/>
                <w:szCs w:val="16"/>
              </w:rPr>
              <w:t>4</w:t>
            </w:r>
          </w:p>
        </w:tc>
        <w:tc>
          <w:tcPr>
            <w:tcW w:w="1133" w:type="dxa"/>
            <w:tcBorders>
              <w:top w:val="nil"/>
              <w:left w:val="nil"/>
              <w:bottom w:val="single" w:sz="4" w:space="0" w:color="auto"/>
              <w:right w:val="single" w:sz="4" w:space="0" w:color="auto"/>
            </w:tcBorders>
            <w:shd w:val="clear" w:color="000000" w:fill="EDEDED"/>
            <w:noWrap/>
            <w:vAlign w:val="center"/>
          </w:tcPr>
          <w:p w14:paraId="6F471B7B" w14:textId="334AF4C4"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2</w:t>
            </w:r>
            <w:r w:rsidR="00BA76F9">
              <w:rPr>
                <w:rFonts w:ascii="Calibri" w:eastAsia="Times New Roman" w:hAnsi="Calibri" w:cs="Calibri"/>
                <w:color w:val="000000"/>
                <w:sz w:val="16"/>
                <w:szCs w:val="16"/>
              </w:rPr>
              <w:t>5</w:t>
            </w:r>
          </w:p>
        </w:tc>
        <w:tc>
          <w:tcPr>
            <w:tcW w:w="1132" w:type="dxa"/>
            <w:tcBorders>
              <w:top w:val="nil"/>
              <w:left w:val="nil"/>
              <w:bottom w:val="single" w:sz="4" w:space="0" w:color="auto"/>
              <w:right w:val="single" w:sz="4" w:space="0" w:color="auto"/>
            </w:tcBorders>
            <w:shd w:val="clear" w:color="000000" w:fill="EDEDED"/>
            <w:noWrap/>
            <w:vAlign w:val="center"/>
          </w:tcPr>
          <w:p w14:paraId="15F635CC" w14:textId="0C08B6AF"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1132" w:type="dxa"/>
            <w:tcBorders>
              <w:top w:val="nil"/>
              <w:left w:val="nil"/>
              <w:bottom w:val="single" w:sz="4" w:space="0" w:color="auto"/>
              <w:right w:val="single" w:sz="4" w:space="0" w:color="auto"/>
            </w:tcBorders>
            <w:shd w:val="clear" w:color="000000" w:fill="EDEDED"/>
            <w:noWrap/>
            <w:vAlign w:val="center"/>
          </w:tcPr>
          <w:p w14:paraId="217A8D2E" w14:textId="6CD79587"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w:t>
            </w:r>
            <w:r w:rsidR="00CA24F9">
              <w:rPr>
                <w:rFonts w:ascii="Calibri" w:eastAsia="Times New Roman" w:hAnsi="Calibri" w:cs="Calibri"/>
                <w:color w:val="000000"/>
                <w:sz w:val="16"/>
                <w:szCs w:val="16"/>
              </w:rPr>
              <w:t>9</w:t>
            </w:r>
          </w:p>
        </w:tc>
        <w:tc>
          <w:tcPr>
            <w:tcW w:w="1133" w:type="dxa"/>
            <w:tcBorders>
              <w:top w:val="nil"/>
              <w:left w:val="nil"/>
              <w:bottom w:val="single" w:sz="4" w:space="0" w:color="auto"/>
              <w:right w:val="nil"/>
            </w:tcBorders>
            <w:shd w:val="clear" w:color="000000" w:fill="EDEDED"/>
            <w:noWrap/>
            <w:vAlign w:val="center"/>
          </w:tcPr>
          <w:p w14:paraId="7586EEC8" w14:textId="68E1BB5F" w:rsidR="00847F69" w:rsidRPr="00B83FBF" w:rsidRDefault="00A0021A" w:rsidP="00847F69">
            <w:pPr>
              <w:spacing w:after="0" w:line="240" w:lineRule="auto"/>
              <w:jc w:val="center"/>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724" w:type="dxa"/>
            <w:tcBorders>
              <w:top w:val="nil"/>
              <w:left w:val="single" w:sz="4" w:space="0" w:color="auto"/>
              <w:bottom w:val="single" w:sz="4" w:space="0" w:color="auto"/>
              <w:right w:val="single" w:sz="4" w:space="0" w:color="auto"/>
            </w:tcBorders>
            <w:shd w:val="clear" w:color="000000" w:fill="AEAAAA"/>
            <w:noWrap/>
            <w:vAlign w:val="center"/>
            <w:hideMark/>
          </w:tcPr>
          <w:p w14:paraId="54835D06" w14:textId="1E078247" w:rsidR="00847F69" w:rsidRPr="00B83FBF" w:rsidRDefault="00847F69" w:rsidP="00847F69">
            <w:pPr>
              <w:spacing w:after="0" w:line="240" w:lineRule="auto"/>
              <w:jc w:val="center"/>
              <w:rPr>
                <w:rFonts w:ascii="Calibri" w:eastAsia="Times New Roman" w:hAnsi="Calibri" w:cs="Calibri"/>
                <w:color w:val="000000"/>
                <w:sz w:val="16"/>
                <w:szCs w:val="16"/>
              </w:rPr>
            </w:pPr>
            <w:r w:rsidRPr="00B83FBF">
              <w:rPr>
                <w:rFonts w:ascii="Calibri" w:eastAsia="Times New Roman" w:hAnsi="Calibri" w:cs="Calibri"/>
                <w:color w:val="000000"/>
                <w:sz w:val="16"/>
                <w:szCs w:val="16"/>
              </w:rPr>
              <w:t> </w:t>
            </w:r>
            <w:r w:rsidR="00557546">
              <w:rPr>
                <w:rFonts w:ascii="Calibri" w:eastAsia="Times New Roman" w:hAnsi="Calibri" w:cs="Calibri"/>
                <w:color w:val="000000"/>
                <w:sz w:val="16"/>
                <w:szCs w:val="16"/>
              </w:rPr>
              <w:t>88</w:t>
            </w:r>
          </w:p>
        </w:tc>
      </w:tr>
    </w:tbl>
    <w:p w14:paraId="72140D70" w14:textId="77777777" w:rsidR="002A5814" w:rsidRPr="002A5814" w:rsidRDefault="002A5814" w:rsidP="002A5814"/>
    <w:sectPr w:rsidR="002A5814" w:rsidRPr="002A5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C80D72"/>
    <w:multiLevelType w:val="hybridMultilevel"/>
    <w:tmpl w:val="2128712A"/>
    <w:lvl w:ilvl="0" w:tplc="B92A38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9D"/>
    <w:rsid w:val="00000D1A"/>
    <w:rsid w:val="00082FC0"/>
    <w:rsid w:val="00104269"/>
    <w:rsid w:val="00117AA9"/>
    <w:rsid w:val="0013459D"/>
    <w:rsid w:val="001354DF"/>
    <w:rsid w:val="00195D68"/>
    <w:rsid w:val="00296B27"/>
    <w:rsid w:val="002A5814"/>
    <w:rsid w:val="00361CF0"/>
    <w:rsid w:val="00396ABC"/>
    <w:rsid w:val="00403E2F"/>
    <w:rsid w:val="0042325A"/>
    <w:rsid w:val="00433DBE"/>
    <w:rsid w:val="004C0EEA"/>
    <w:rsid w:val="005044BD"/>
    <w:rsid w:val="00557546"/>
    <w:rsid w:val="00605EAA"/>
    <w:rsid w:val="006660DF"/>
    <w:rsid w:val="00774AA4"/>
    <w:rsid w:val="00775764"/>
    <w:rsid w:val="00847F69"/>
    <w:rsid w:val="00894AB0"/>
    <w:rsid w:val="008C3B6D"/>
    <w:rsid w:val="009E5B03"/>
    <w:rsid w:val="00A0021A"/>
    <w:rsid w:val="00AB4B97"/>
    <w:rsid w:val="00AF7773"/>
    <w:rsid w:val="00B24FBC"/>
    <w:rsid w:val="00B83FBF"/>
    <w:rsid w:val="00BA76F9"/>
    <w:rsid w:val="00C23976"/>
    <w:rsid w:val="00C32582"/>
    <w:rsid w:val="00CA24F9"/>
    <w:rsid w:val="00D35E1F"/>
    <w:rsid w:val="00DB045D"/>
    <w:rsid w:val="00E4304D"/>
    <w:rsid w:val="00EA1665"/>
    <w:rsid w:val="00EE3F72"/>
    <w:rsid w:val="00FE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DC68"/>
  <w15:chartTrackingRefBased/>
  <w15:docId w15:val="{46BE50A1-264F-45E0-A6A8-AE8360FC5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2A5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581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A5814"/>
    <w:pPr>
      <w:ind w:left="720"/>
      <w:contextualSpacing/>
    </w:pPr>
  </w:style>
  <w:style w:type="table" w:styleId="Grilledutableau">
    <w:name w:val="Table Grid"/>
    <w:basedOn w:val="TableauNormal"/>
    <w:uiPriority w:val="39"/>
    <w:rsid w:val="002A5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610345">
      <w:bodyDiv w:val="1"/>
      <w:marLeft w:val="0"/>
      <w:marRight w:val="0"/>
      <w:marTop w:val="0"/>
      <w:marBottom w:val="0"/>
      <w:divBdr>
        <w:top w:val="none" w:sz="0" w:space="0" w:color="auto"/>
        <w:left w:val="none" w:sz="0" w:space="0" w:color="auto"/>
        <w:bottom w:val="none" w:sz="0" w:space="0" w:color="auto"/>
        <w:right w:val="none" w:sz="0" w:space="0" w:color="auto"/>
      </w:divBdr>
    </w:div>
    <w:div w:id="356080818">
      <w:bodyDiv w:val="1"/>
      <w:marLeft w:val="0"/>
      <w:marRight w:val="0"/>
      <w:marTop w:val="0"/>
      <w:marBottom w:val="0"/>
      <w:divBdr>
        <w:top w:val="none" w:sz="0" w:space="0" w:color="auto"/>
        <w:left w:val="none" w:sz="0" w:space="0" w:color="auto"/>
        <w:bottom w:val="none" w:sz="0" w:space="0" w:color="auto"/>
        <w:right w:val="none" w:sz="0" w:space="0" w:color="auto"/>
      </w:divBdr>
    </w:div>
    <w:div w:id="716046903">
      <w:bodyDiv w:val="1"/>
      <w:marLeft w:val="0"/>
      <w:marRight w:val="0"/>
      <w:marTop w:val="0"/>
      <w:marBottom w:val="0"/>
      <w:divBdr>
        <w:top w:val="none" w:sz="0" w:space="0" w:color="auto"/>
        <w:left w:val="none" w:sz="0" w:space="0" w:color="auto"/>
        <w:bottom w:val="none" w:sz="0" w:space="0" w:color="auto"/>
        <w:right w:val="none" w:sz="0" w:space="0" w:color="auto"/>
      </w:divBdr>
    </w:div>
    <w:div w:id="1452090664">
      <w:bodyDiv w:val="1"/>
      <w:marLeft w:val="0"/>
      <w:marRight w:val="0"/>
      <w:marTop w:val="0"/>
      <w:marBottom w:val="0"/>
      <w:divBdr>
        <w:top w:val="none" w:sz="0" w:space="0" w:color="auto"/>
        <w:left w:val="none" w:sz="0" w:space="0" w:color="auto"/>
        <w:bottom w:val="none" w:sz="0" w:space="0" w:color="auto"/>
        <w:right w:val="none" w:sz="0" w:space="0" w:color="auto"/>
      </w:divBdr>
    </w:div>
    <w:div w:id="149456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1253</Words>
  <Characters>6893</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Anctil</dc:creator>
  <cp:keywords/>
  <dc:description/>
  <cp:lastModifiedBy>Bourret Olivier</cp:lastModifiedBy>
  <cp:revision>4</cp:revision>
  <dcterms:created xsi:type="dcterms:W3CDTF">2021-04-01T12:39:00Z</dcterms:created>
  <dcterms:modified xsi:type="dcterms:W3CDTF">2021-04-02T16:57:00Z</dcterms:modified>
</cp:coreProperties>
</file>