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2400"/>
      </w:pPr>
      <w:r>
        <w:t xml:space="preserve"/>
      </w:r>
    </w:p>
    <w:p>
      <w:pPr>
        <w:spacing w:before="0" w:after="40"/>
        <w:jc w:val="center"/>
      </w:pPr>
      <w:r>
        <w:rPr>
          <w:rFonts w:ascii="Arial" w:cs="Arial" w:eastAsia="Arial" w:hAnsi="Arial"/>
          <w:b/>
          <w:bCs/>
          <w:color w:val="1A1A2E"/>
          <w:sz w:val="80"/>
          <w:szCs w:val="80"/>
        </w:rPr>
        <w:t xml:space="preserve">FUUTURA</w:t>
      </w:r>
    </w:p>
    <w:p>
      <w:pPr>
        <w:spacing w:before="0" w:after="280"/>
        <w:jc w:val="center"/>
      </w:pPr>
      <w:r>
        <w:rPr>
          <w:rFonts w:ascii="Arial" w:cs="Arial" w:eastAsia="Arial" w:hAnsi="Arial"/>
          <w:color w:val="E94560"/>
          <w:sz w:val="34"/>
          <w:szCs w:val="34"/>
        </w:rPr>
        <w:t xml:space="preserve">Marketing Team: What You Can and Cannot Say</w:t>
      </w:r>
    </w:p>
    <w:p>
      <w:pPr>
        <w:pBdr>
          <w:top w:val="single" w:color="E94560" w:sz="8" w:space="1"/>
        </w:pBdr>
        <w:spacing w:before="0" w:after="0"/>
        <w:jc w:val="center"/>
      </w:pPr>
      <w:r>
        <w:t xml:space="preserve"/>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1"/>
              <w:left w:val="single" w:color="BFBFBF" w:sz="1"/>
              <w:bottom w:val="single" w:color="BFBFBF" w:sz="1"/>
              <w:right w:val="single" w:color="BFBFBF" w:sz="1"/>
            </w:tcBorders>
            <w:shd w:fill="1F4E79" w:val="clear"/>
            <w:tcMar>
              <w:top w:type="dxa" w:w="200"/>
              <w:left w:type="dxa" w:w="200"/>
              <w:bottom w:type="dxa" w:w="200"/>
              <w:right w:type="dxa" w:w="200"/>
            </w:tcMar>
          </w:tcPr>
          <w:p>
            <w:pPr>
              <w:jc w:val="center"/>
            </w:pPr>
            <w:r>
              <w:rPr>
                <w:rFonts w:ascii="Arial" w:cs="Arial" w:eastAsia="Arial" w:hAnsi="Arial"/>
                <w:b/>
                <w:bCs/>
                <w:color w:val="FFFFFF"/>
                <w:sz w:val="26"/>
                <w:szCs w:val="26"/>
              </w:rPr>
              <w:t xml:space="preserve">STAGE 1</w:t>
            </w:r>
          </w:p>
          <w:p>
            <w:pPr>
              <w:spacing w:before="60"/>
              <w:jc w:val="center"/>
            </w:pPr>
            <w:r>
              <w:rPr>
                <w:rFonts w:ascii="Arial" w:cs="Arial" w:eastAsia="Arial" w:hAnsi="Arial"/>
                <w:b/>
                <w:bCs/>
                <w:color w:val="FFFFFF"/>
                <w:sz w:val="20"/>
                <w:szCs w:val="20"/>
              </w:rPr>
              <w:t xml:space="preserve">Bitcoin exchange licence + Decentralised exchange</w:t>
            </w:r>
          </w:p>
          <w:p>
            <w:pPr>
              <w:spacing w:before="60"/>
              <w:jc w:val="center"/>
            </w:pPr>
            <w:r>
              <w:rPr>
                <w:rFonts w:ascii="Arial" w:cs="Arial" w:eastAsia="Arial" w:hAnsi="Arial"/>
                <w:i/>
                <w:iCs/>
                <w:color w:val="DEEAF1"/>
                <w:sz w:val="18"/>
                <w:szCs w:val="18"/>
              </w:rPr>
              <w:t xml:space="preserve">Active now</w:t>
            </w:r>
          </w:p>
        </w:tc>
        <w:tc>
          <w:tcPr>
            <w:tcW w:type="dxa" w:w="4680"/>
            <w:tcBorders>
              <w:top w:val="single" w:color="BFBFBF" w:sz="1"/>
              <w:left w:val="single" w:color="BFBFBF" w:sz="1"/>
              <w:bottom w:val="single" w:color="BFBFBF" w:sz="1"/>
              <w:right w:val="single" w:color="BFBFBF" w:sz="1"/>
            </w:tcBorders>
            <w:shd w:fill="1D6B5E" w:val="clear"/>
            <w:tcMar>
              <w:top w:type="dxa" w:w="200"/>
              <w:left w:type="dxa" w:w="200"/>
              <w:bottom w:type="dxa" w:w="200"/>
              <w:right w:type="dxa" w:w="200"/>
            </w:tcMar>
          </w:tcPr>
          <w:p>
            <w:pPr>
              <w:jc w:val="center"/>
            </w:pPr>
            <w:r>
              <w:rPr>
                <w:rFonts w:ascii="Arial" w:cs="Arial" w:eastAsia="Arial" w:hAnsi="Arial"/>
                <w:b/>
                <w:bCs/>
                <w:color w:val="FFFFFF"/>
                <w:sz w:val="26"/>
                <w:szCs w:val="26"/>
              </w:rPr>
              <w:t xml:space="preserve">STAGE 2</w:t>
            </w:r>
          </w:p>
          <w:p>
            <w:pPr>
              <w:spacing w:before="60"/>
              <w:jc w:val="center"/>
            </w:pPr>
            <w:r>
              <w:rPr>
                <w:rFonts w:ascii="Arial" w:cs="Arial" w:eastAsia="Arial" w:hAnsi="Arial"/>
                <w:b/>
                <w:bCs/>
                <w:color w:val="FFFFFF"/>
                <w:sz w:val="20"/>
                <w:szCs w:val="20"/>
              </w:rPr>
              <w:t xml:space="preserve">Full digital asset trading licence added</w:t>
            </w:r>
          </w:p>
          <w:p>
            <w:pPr>
              <w:spacing w:before="60"/>
              <w:jc w:val="center"/>
            </w:pPr>
            <w:r>
              <w:rPr>
                <w:rFonts w:ascii="Arial" w:cs="Arial" w:eastAsia="Arial" w:hAnsi="Arial"/>
                <w:i/>
                <w:iCs/>
                <w:color w:val="E2EFDA"/>
                <w:sz w:val="18"/>
                <w:szCs w:val="18"/>
              </w:rPr>
              <w:t xml:space="preserve">Approx. 5–6 months</w:t>
            </w:r>
          </w:p>
        </w:tc>
      </w:tr>
    </w:tbl>
    <w:p>
      <w:pPr>
        <w:spacing w:before="120" w:after="120"/>
      </w:pPr>
      <w:r>
        <w:t xml:space="preserve"/>
      </w:r>
    </w:p>
    <w:p>
      <w:pPr>
        <w:spacing w:before="60" w:after="40"/>
        <w:jc w:val="center"/>
      </w:pPr>
      <w:r>
        <w:rPr>
          <w:rFonts w:ascii="Arial" w:cs="Arial" w:eastAsia="Arial" w:hAnsi="Arial"/>
          <w:color w:val="404040"/>
          <w:sz w:val="20"/>
          <w:szCs w:val="20"/>
        </w:rPr>
        <w:t xml:space="preserve">Issued by Legal &amp; Compliance  |  Fuutura Group</w:t>
      </w:r>
    </w:p>
    <w:p>
      <w:pPr>
        <w:spacing w:before="0" w:after="40"/>
        <w:jc w:val="center"/>
      </w:pPr>
      <w:r>
        <w:rPr>
          <w:rFonts w:ascii="Arial" w:cs="Arial" w:eastAsia="Arial" w:hAnsi="Arial"/>
          <w:color w:val="404040"/>
          <w:sz w:val="20"/>
          <w:szCs w:val="20"/>
        </w:rPr>
        <w:t xml:space="preserve">Version 1.0  —  March 2026</w:t>
      </w:r>
    </w:p>
    <w:p>
      <w:pPr>
        <w:spacing w:before="0" w:after="180"/>
        <w:jc w:val="center"/>
      </w:pPr>
      <w:r>
        <w:rPr>
          <w:rFonts w:ascii="Arial" w:cs="Arial" w:eastAsia="Arial" w:hAnsi="Arial"/>
          <w:b/>
          <w:bCs/>
          <w:color w:val="E94560"/>
          <w:sz w:val="20"/>
          <w:szCs w:val="20"/>
        </w:rPr>
        <w:t xml:space="preserve">CONFIDENTIAL — INTERNAL USE ONLY</w:t>
      </w:r>
    </w:p>
    <w:p>
      <w:pPr>
        <w:pBdr>
          <w:bottom w:val="single" w:color="E94560" w:sz="8" w:space="1"/>
        </w:pBdr>
        <w:spacing w:before="0" w:after="0"/>
        <w:jc w:val="center"/>
      </w:pPr>
      <w:r>
        <w:t xml:space="preserve"/>
      </w:r>
    </w:p>
    <w:p>
      <w:r/>
    </w:p>
    <w:p>
      <w:pPr>
        <w:pStyle w:val="Heading1"/>
        <w:spacing w:before="400" w:after="140"/>
      </w:pPr>
      <w:r>
        <w:rPr>
          <w:rFonts w:ascii="Arial" w:cs="Arial" w:eastAsia="Arial" w:hAnsi="Arial"/>
          <w:b/>
          <w:bCs/>
          <w:color w:val="1A1A2E"/>
          <w:sz w:val="30"/>
          <w:szCs w:val="30"/>
        </w:rPr>
        <w:t xml:space="preserve">1. How to Use This Document</w:t>
      </w:r>
    </w:p>
    <w:p>
      <w:pPr>
        <w:spacing w:before="60" w:after="90"/>
      </w:pPr>
      <w:r>
        <w:rPr>
          <w:rFonts w:ascii="Arial" w:cs="Arial" w:eastAsia="Arial" w:hAnsi="Arial"/>
          <w:color w:val="404040"/>
          <w:sz w:val="22"/>
          <w:szCs w:val="22"/>
        </w:rPr>
        <w:t xml:space="preserve">This guide tells every Fuutura marketing team member exactly what they can and cannot say publicly, and in which channels. It is written in plain language — no legal knowledge required.</w:t>
      </w:r>
    </w:p>
    <w:p>
      <w:pPr>
        <w:spacing w:before="80" w:after="80"/>
      </w:pPr>
      <w:r>
        <w:t xml:space="preserve"/>
      </w:r>
    </w:p>
    <w:p>
      <w:pPr>
        <w:spacing w:before="60" w:after="90"/>
      </w:pPr>
      <w:r>
        <w:rPr>
          <w:rFonts w:ascii="Arial" w:cs="Arial" w:eastAsia="Arial" w:hAnsi="Arial"/>
          <w:color w:val="404040"/>
          <w:sz w:val="22"/>
          <w:szCs w:val="22"/>
        </w:rPr>
        <w:t xml:space="preserve">Everything Fuutura does commercially is governed by the licences we hold. Publishing content that goes beyond those licences — even accidentally — can put our licences at risk. So the team needs to know the rules cold.</w:t>
      </w:r>
    </w:p>
    <w:p>
      <w:pPr>
        <w:spacing w:before="80" w:after="80"/>
      </w:pPr>
      <w:r>
        <w:t xml:space="preserve"/>
      </w:r>
    </w:p>
    <w:p>
      <w:pPr>
        <w:spacing w:before="60" w:after="90"/>
      </w:pPr>
      <w:r>
        <w:rPr>
          <w:rFonts w:ascii="Arial" w:cs="Arial" w:eastAsia="Arial" w:hAnsi="Arial"/>
          <w:color w:val="404040"/>
          <w:sz w:val="22"/>
          <w:szCs w:val="22"/>
        </w:rPr>
        <w:t xml:space="preserve">The guide is split into two stages: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800"/>
        <w:gridCol w:w="4760"/>
      </w:tblGrid>
      <w:tr>
        <w:tc>
          <w:tcPr>
            <w:tcW w:type="dxa" w:w="800"/>
            <w:tcBorders>
              <w:top w:val="single" w:color="BFBFBF" w:sz="1"/>
              <w:left w:val="single" w:color="BFBFBF" w:sz="1"/>
              <w:bottom w:val="single" w:color="BFBFBF" w:sz="1"/>
              <w:right w:val="single" w:color="BFBFBF" w:sz="1"/>
            </w:tcBorders>
            <w:shd w:fill="1F4E79" w:val="clear"/>
            <w:tcMar>
              <w:top w:type="dxa" w:w="140"/>
              <w:left w:type="dxa" w:w="100"/>
              <w:bottom w:type="dxa" w:w="140"/>
              <w:right w:type="dxa" w:w="100"/>
            </w:tcMar>
            <w:vAlign w:val="center"/>
          </w:tcPr>
          <w:p>
            <w:pPr>
              <w:jc w:val="center"/>
            </w:pPr>
            <w:r>
              <w:rPr>
                <w:rFonts w:ascii="Arial" w:cs="Arial" w:eastAsia="Arial" w:hAnsi="Arial"/>
                <w:b/>
                <w:bCs/>
                <w:color w:val="FFFFFF"/>
                <w:sz w:val="40"/>
                <w:szCs w:val="40"/>
              </w:rPr>
              <w:t xml:space="preserve">1</w:t>
            </w:r>
          </w:p>
        </w:tc>
        <w:tc>
          <w:tcPr>
            <w:tcW w:type="dxa" w:w="3800"/>
            <w:tcBorders>
              <w:top w:val="single" w:color="BFBFBF" w:sz="1"/>
              <w:left w:val="single" w:color="BFBFBF" w:sz="1"/>
              <w:bottom w:val="single" w:color="BFBFBF" w:sz="1"/>
              <w:right w:val="single" w:color="BFBFBF" w:sz="1"/>
            </w:tcBorders>
            <w:shd w:fill="DEEAF1" w:val="clear"/>
            <w:tcMar>
              <w:top w:type="dxa" w:w="120"/>
              <w:left w:type="dxa" w:w="180"/>
              <w:bottom w:type="dxa" w:w="120"/>
              <w:right w:type="dxa" w:w="180"/>
            </w:tcMar>
            <w:vAlign w:val="center"/>
          </w:tcPr>
          <w:p>
            <w:r>
              <w:rPr>
                <w:rFonts w:ascii="Arial" w:cs="Arial" w:eastAsia="Arial" w:hAnsi="Arial"/>
                <w:b/>
                <w:bCs/>
                <w:color w:val="1F4E79"/>
                <w:sz w:val="22"/>
                <w:szCs w:val="22"/>
              </w:rPr>
              <w:t xml:space="preserve">RIGHT NOW</w:t>
            </w:r>
          </w:p>
          <w:p>
            <w:pPr>
              <w:spacing w:before="40"/>
            </w:pPr>
            <w:r>
              <w:rPr>
                <w:rFonts w:ascii="Arial" w:cs="Arial" w:eastAsia="Arial" w:hAnsi="Arial"/>
                <w:color w:val="404040"/>
                <w:sz w:val="18"/>
                <w:szCs w:val="18"/>
              </w:rPr>
              <w:t xml:space="preserve">We hold a Bitcoin exchange licence in El Salvador (from the Central Reserve Bank of El Salvador). We also have our own decentralised exchange — a software protocol that runs directly on the blockchain, with no company holding customer funds.</w:t>
            </w:r>
          </w:p>
        </w:tc>
        <w:tc>
          <w:tcPr>
            <w:tcW w:type="dxa" w:w="4760"/>
            <w:tcBorders>
              <w:top w:val="single" w:color="BFBFBF" w:sz="1"/>
              <w:left w:val="single" w:color="BFBFBF" w:sz="1"/>
              <w:bottom w:val="single" w:color="BFBFBF" w:sz="1"/>
              <w:right w:val="single" w:color="BFBFBF" w:sz="1"/>
            </w:tcBorders>
            <w:shd w:fill="F4F4F4" w:val="clear"/>
            <w:tcMar>
              <w:top w:type="dxa" w:w="120"/>
              <w:left w:type="dxa" w:w="180"/>
              <w:bottom w:type="dxa" w:w="120"/>
              <w:right w:type="dxa" w:w="180"/>
            </w:tcMar>
            <w:vAlign w:val="center"/>
          </w:tcPr>
          <w:p>
            <w:r>
              <w:rPr>
                <w:rFonts w:ascii="Arial" w:cs="Arial" w:eastAsia="Arial" w:hAnsi="Arial"/>
                <w:color w:val="404040"/>
                <w:sz w:val="18"/>
                <w:szCs w:val="18"/>
              </w:rPr>
              <w:t xml:space="preserve">This means we can market Bitcoin exchange services, our decentralised exchange, and the $FTRA token via the decentralised exchange. We cannot yet market cryptocurrency trading beyond Bitcoin on our main exchange, or token sales through the main exchange.</w:t>
            </w:r>
          </w:p>
        </w:tc>
      </w:tr>
      <w:tr>
        <w:tc>
          <w:tcPr>
            <w:tcW w:type="dxa" w:w="800"/>
            <w:tcBorders>
              <w:top w:val="single" w:color="BFBFBF" w:sz="1"/>
              <w:left w:val="single" w:color="BFBFBF" w:sz="1"/>
              <w:bottom w:val="single" w:color="BFBFBF" w:sz="1"/>
              <w:right w:val="single" w:color="BFBFBF" w:sz="1"/>
            </w:tcBorders>
            <w:shd w:fill="1D6B5E" w:val="clear"/>
            <w:tcMar>
              <w:top w:type="dxa" w:w="140"/>
              <w:left w:type="dxa" w:w="100"/>
              <w:bottom w:type="dxa" w:w="140"/>
              <w:right w:type="dxa" w:w="100"/>
            </w:tcMar>
            <w:vAlign w:val="center"/>
          </w:tcPr>
          <w:p>
            <w:pPr>
              <w:jc w:val="center"/>
            </w:pPr>
            <w:r>
              <w:rPr>
                <w:rFonts w:ascii="Arial" w:cs="Arial" w:eastAsia="Arial" w:hAnsi="Arial"/>
                <w:b/>
                <w:bCs/>
                <w:color w:val="FFFFFF"/>
                <w:sz w:val="40"/>
                <w:szCs w:val="40"/>
              </w:rPr>
              <w:t xml:space="preserve">2</w:t>
            </w:r>
          </w:p>
        </w:tc>
        <w:tc>
          <w:tcPr>
            <w:tcW w:type="dxa" w:w="3800"/>
            <w:tcBorders>
              <w:top w:val="single" w:color="BFBFBF" w:sz="1"/>
              <w:left w:val="single" w:color="BFBFBF" w:sz="1"/>
              <w:bottom w:val="single" w:color="BFBFBF" w:sz="1"/>
              <w:right w:val="single" w:color="BFBFBF" w:sz="1"/>
            </w:tcBorders>
            <w:shd w:fill="E2EFDA" w:val="clear"/>
            <w:tcMar>
              <w:top w:type="dxa" w:w="120"/>
              <w:left w:type="dxa" w:w="180"/>
              <w:bottom w:type="dxa" w:w="120"/>
              <w:right w:type="dxa" w:w="180"/>
            </w:tcMar>
            <w:vAlign w:val="center"/>
          </w:tcPr>
          <w:p>
            <w:r>
              <w:rPr>
                <w:rFonts w:ascii="Arial" w:cs="Arial" w:eastAsia="Arial" w:hAnsi="Arial"/>
                <w:b/>
                <w:bCs/>
                <w:color w:val="1D6B5E"/>
                <w:sz w:val="22"/>
                <w:szCs w:val="22"/>
              </w:rPr>
              <w:t xml:space="preserve">APPROX. 5–6 MONTHS FROM NOW</w:t>
            </w:r>
          </w:p>
          <w:p>
            <w:pPr>
              <w:spacing w:before="40"/>
            </w:pPr>
            <w:r>
              <w:rPr>
                <w:rFonts w:ascii="Arial" w:cs="Arial" w:eastAsia="Arial" w:hAnsi="Arial"/>
                <w:color w:val="404040"/>
                <w:sz w:val="18"/>
                <w:szCs w:val="18"/>
              </w:rPr>
              <w:t xml:space="preserve">We will also hold a full digital asset service provider licence from El Salvador's National Commission of Digital Assets. This adds the right to run a fully licensed exchange for all cryptocurrencies and digital tokens.</w:t>
            </w:r>
          </w:p>
        </w:tc>
        <w:tc>
          <w:tcPr>
            <w:tcW w:type="dxa" w:w="4760"/>
            <w:tcBorders>
              <w:top w:val="single" w:color="BFBFBF" w:sz="1"/>
              <w:left w:val="single" w:color="BFBFBF" w:sz="1"/>
              <w:bottom w:val="single" w:color="BFBFBF" w:sz="1"/>
              <w:right w:val="single" w:color="BFBFBF" w:sz="1"/>
            </w:tcBorders>
            <w:shd w:fill="F4F4F4" w:val="clear"/>
            <w:tcMar>
              <w:top w:type="dxa" w:w="120"/>
              <w:left w:type="dxa" w:w="180"/>
              <w:bottom w:type="dxa" w:w="120"/>
              <w:right w:type="dxa" w:w="180"/>
            </w:tcMar>
            <w:vAlign w:val="center"/>
          </w:tcPr>
          <w:p>
            <w:r>
              <w:rPr>
                <w:rFonts w:ascii="Arial" w:cs="Arial" w:eastAsia="Arial" w:hAnsi="Arial"/>
                <w:color w:val="404040"/>
                <w:sz w:val="18"/>
                <w:szCs w:val="18"/>
              </w:rPr>
              <w:t xml:space="preserve">This unlocks marketing for the full exchange product — all cryptocurrency trading, $FTRA on the main exchange, stablecoin services, and structured digital asset products.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BFBFBF" w:sz="1"/>
              <w:left w:val="single" w:color="BFBFBF" w:sz="1"/>
              <w:bottom w:val="single" w:color="BFBFBF" w:sz="1"/>
              <w:right w:val="single" w:color="BFBFBF" w:sz="1"/>
            </w:tcBorders>
            <w:shd w:fill="B06000" w:val="clear"/>
            <w:tcMar>
              <w:top w:type="dxa" w:w="140"/>
              <w:left w:type="dxa" w:w="80"/>
              <w:bottom w:type="dxa" w:w="140"/>
              <w:right w:type="dxa" w:w="80"/>
            </w:tcMar>
            <w:vAlign w:val="center"/>
          </w:tcPr>
          <w:p>
            <w:pPr>
              <w:jc w:val="center"/>
            </w:pPr>
            <w:r>
              <w:rPr>
                <w:rFonts w:ascii="Arial" w:cs="Arial" w:eastAsia="Arial" w:hAnsi="Arial"/>
                <w:b/>
                <w:bCs/>
                <w:color w:val="FFFFFF"/>
                <w:sz w:val="32"/>
                <w:szCs w:val="32"/>
              </w:rPr>
              <w:t xml:space="preserve">!</w:t>
            </w:r>
          </w:p>
        </w:tc>
        <w:tc>
          <w:tcPr>
            <w:tcW w:type="dxa" w:w="8720"/>
            <w:tcBorders>
              <w:top w:val="single" w:color="BFBFBF" w:sz="1"/>
              <w:left w:val="single" w:color="BFBFBF" w:sz="1"/>
              <w:bottom w:val="single" w:color="BFBFBF" w:sz="1"/>
              <w:right w:val="single" w:color="BFBFBF" w:sz="1"/>
            </w:tcBorders>
            <w:shd w:fill="FFF2CC" w:val="clear"/>
            <w:tcMar>
              <w:top w:type="dxa" w:w="140"/>
              <w:left w:type="dxa" w:w="200"/>
              <w:bottom w:type="dxa" w:w="140"/>
              <w:right w:type="dxa" w:w="200"/>
            </w:tcMar>
          </w:tcPr>
          <w:p>
            <w:r>
              <w:rPr>
                <w:rFonts w:ascii="Arial" w:cs="Arial" w:eastAsia="Arial" w:hAnsi="Arial"/>
                <w:b/>
                <w:bCs/>
                <w:color w:val="B06000"/>
                <w:sz w:val="22"/>
                <w:szCs w:val="22"/>
              </w:rPr>
              <w:t xml:space="preserve">When in doubt, do not publish</w:t>
            </w:r>
          </w:p>
          <w:p>
            <w:pPr>
              <w:spacing w:before="60"/>
            </w:pPr>
            <w:r>
              <w:rPr>
                <w:rFonts w:ascii="Arial" w:cs="Arial" w:eastAsia="Arial" w:hAnsi="Arial"/>
                <w:color w:val="404040"/>
                <w:sz w:val="20"/>
                <w:szCs w:val="20"/>
              </w:rPr>
              <w:t xml:space="preserve">If you are not sure whether a piece of content is permitted, stop and ask Legal before it goes out. A 48-hour delay is nothing. Publishing non-compliant content in the wrong market could cost Fuutura its licences and expose individuals personally to regulatory action.</w:t>
            </w:r>
          </w:p>
        </w:tc>
      </w:tr>
    </w:tbl>
    <w:p>
      <w:pPr>
        <w:pBdr>
          <w:bottom w:val="single" w:color="DDDDDD" w:sz="4" w:space="1"/>
        </w:pBdr>
        <w:spacing w:before="180" w:after="180"/>
      </w:pPr>
      <w:r>
        <w:t xml:space="preserve"/>
      </w:r>
    </w:p>
    <w:p>
      <w:pPr>
        <w:pStyle w:val="Heading1"/>
        <w:spacing w:before="400" w:after="140"/>
      </w:pPr>
      <w:r>
        <w:rPr>
          <w:rFonts w:ascii="Arial" w:cs="Arial" w:eastAsia="Arial" w:hAnsi="Arial"/>
          <w:b/>
          <w:bCs/>
          <w:color w:val="1A1A2E"/>
          <w:sz w:val="30"/>
          <w:szCs w:val="30"/>
        </w:rPr>
        <w:t xml:space="preserve">2. Our Two Platforms — What They Are and What They Do</w:t>
      </w:r>
    </w:p>
    <w:p>
      <w:pPr>
        <w:spacing w:before="60" w:after="90"/>
      </w:pPr>
      <w:r>
        <w:rPr>
          <w:rFonts w:ascii="Arial" w:cs="Arial" w:eastAsia="Arial" w:hAnsi="Arial"/>
          <w:color w:val="404040"/>
          <w:sz w:val="22"/>
          <w:szCs w:val="22"/>
        </w:rPr>
        <w:t xml:space="preserve">Before you can understand the rules, you need to understand the difference between our two trading platforms. They are legally and technically distinct, and different rules apply to each.</w:t>
      </w:r>
    </w:p>
    <w:p>
      <w:pPr>
        <w:spacing w:before="80" w:after="80"/>
      </w:pPr>
      <w:r>
        <w:t xml:space="preserve"/>
      </w:r>
    </w:p>
    <w:p>
      <w:pPr>
        <w:pStyle w:val="Heading2"/>
        <w:spacing w:before="280" w:after="100"/>
      </w:pPr>
      <w:r>
        <w:rPr>
          <w:rFonts w:ascii="Arial" w:cs="Arial" w:eastAsia="Arial" w:hAnsi="Arial"/>
          <w:b/>
          <w:bCs/>
          <w:color w:val="1F4E79"/>
          <w:sz w:val="24"/>
          <w:szCs w:val="24"/>
        </w:rPr>
        <w:t xml:space="preserve">2.1  The Main Exchange (Centralised Exchange)</w:t>
      </w:r>
    </w:p>
    <w:p>
      <w:pPr>
        <w:spacing w:before="60" w:after="90"/>
      </w:pPr>
      <w:r>
        <w:rPr>
          <w:rFonts w:ascii="Arial" w:cs="Arial" w:eastAsia="Arial" w:hAnsi="Arial"/>
          <w:color w:val="404040"/>
          <w:sz w:val="22"/>
          <w:szCs w:val="22"/>
        </w:rPr>
        <w:t xml:space="preserve">This is Fuutura's primary trading platform — the one that looks and works like a traditional exchange. Customers open accounts, verify their identities, deposit money, and trade. Fuutura holds and manages their funds on their behalf. This exchange is run by our El Salvador company and is regulated by El Salvador authorities.</w:t>
      </w:r>
    </w:p>
    <w:p>
      <w:pPr>
        <w:spacing w:before="80" w:after="80"/>
      </w:pPr>
      <w:r>
        <w:t xml:space="preserve"/>
      </w:r>
    </w:p>
    <w:p>
      <w:pPr>
        <w:spacing w:before="60" w:after="90"/>
      </w:pPr>
      <w:r>
        <w:rPr>
          <w:rFonts w:ascii="Arial" w:cs="Arial" w:eastAsia="Arial" w:hAnsi="Arial"/>
          <w:color w:val="404040"/>
          <w:sz w:val="22"/>
          <w:szCs w:val="22"/>
        </w:rPr>
        <w:t xml:space="preserve">At Stage 1, the main exchange is licensed only for Bitcoin services. This means:</w:t>
      </w:r>
    </w:p>
    <w:p>
      <w:pPr>
        <w:pStyle w:val="ListParagraph"/>
        <w:numPr>
          <w:ilvl w:val="0"/>
          <w:numId w:val="2"/>
        </w:numPr>
        <w:spacing w:before="50" w:after="50"/>
      </w:pPr>
      <w:r>
        <w:rPr>
          <w:rFonts w:ascii="Arial" w:cs="Arial" w:eastAsia="Arial" w:hAnsi="Arial"/>
          <w:b w:val="false"/>
          <w:bCs w:val="false"/>
          <w:color w:val="404040"/>
          <w:sz w:val="22"/>
          <w:szCs w:val="22"/>
        </w:rPr>
        <w:t xml:space="preserve">Customers can buy and sell Bitcoin using fiat currency (e.g. US dollars)</w:t>
      </w:r>
    </w:p>
    <w:p>
      <w:pPr>
        <w:pStyle w:val="ListParagraph"/>
        <w:numPr>
          <w:ilvl w:val="0"/>
          <w:numId w:val="2"/>
        </w:numPr>
        <w:spacing w:before="50" w:after="50"/>
      </w:pPr>
      <w:r>
        <w:rPr>
          <w:rFonts w:ascii="Arial" w:cs="Arial" w:eastAsia="Arial" w:hAnsi="Arial"/>
          <w:b w:val="false"/>
          <w:bCs w:val="false"/>
          <w:color w:val="404040"/>
          <w:sz w:val="22"/>
          <w:szCs w:val="22"/>
        </w:rPr>
        <w:t xml:space="preserve">Customers can store Bitcoin with us</w:t>
      </w:r>
    </w:p>
    <w:p>
      <w:pPr>
        <w:pStyle w:val="ListParagraph"/>
        <w:numPr>
          <w:ilvl w:val="0"/>
          <w:numId w:val="2"/>
        </w:numPr>
        <w:spacing w:before="50" w:after="50"/>
      </w:pPr>
      <w:r>
        <w:rPr>
          <w:rFonts w:ascii="Arial" w:cs="Arial" w:eastAsia="Arial" w:hAnsi="Arial"/>
          <w:b w:val="false"/>
          <w:bCs w:val="false"/>
          <w:color w:val="404040"/>
          <w:sz w:val="22"/>
          <w:szCs w:val="22"/>
        </w:rPr>
        <w:t xml:space="preserve">Customers can send Bitcoin as a payment or remittance</w:t>
      </w:r>
    </w:p>
    <w:p>
      <w:pPr>
        <w:spacing w:before="80" w:after="80"/>
      </w:pPr>
      <w:r>
        <w:t xml:space="preserve"/>
      </w:r>
    </w:p>
    <w:p>
      <w:pPr>
        <w:spacing w:before="60" w:after="90"/>
      </w:pPr>
      <w:r>
        <w:rPr>
          <w:rFonts w:ascii="Arial" w:cs="Arial" w:eastAsia="Arial" w:hAnsi="Arial"/>
          <w:color w:val="404040"/>
          <w:sz w:val="22"/>
          <w:szCs w:val="22"/>
        </w:rPr>
        <w:t xml:space="preserve">At Stage 1, the main exchange is NOT authorised for:</w:t>
      </w:r>
    </w:p>
    <w:p>
      <w:pPr>
        <w:pStyle w:val="ListParagraph"/>
        <w:numPr>
          <w:ilvl w:val="0"/>
          <w:numId w:val="2"/>
        </w:numPr>
        <w:spacing w:before="50" w:after="50"/>
      </w:pPr>
      <w:r>
        <w:rPr>
          <w:rFonts w:ascii="Arial" w:cs="Arial" w:eastAsia="Arial" w:hAnsi="Arial"/>
          <w:b w:val="false"/>
          <w:bCs w:val="false"/>
          <w:color w:val="404040"/>
          <w:sz w:val="22"/>
          <w:szCs w:val="22"/>
        </w:rPr>
        <w:t xml:space="preserve">Trading any cryptocurrency other than Bitcoin</w:t>
      </w:r>
    </w:p>
    <w:p>
      <w:pPr>
        <w:pStyle w:val="ListParagraph"/>
        <w:numPr>
          <w:ilvl w:val="0"/>
          <w:numId w:val="2"/>
        </w:numPr>
        <w:spacing w:before="50" w:after="50"/>
      </w:pPr>
      <w:r>
        <w:rPr>
          <w:rFonts w:ascii="Arial" w:cs="Arial" w:eastAsia="Arial" w:hAnsi="Arial"/>
          <w:b w:val="false"/>
          <w:bCs w:val="false"/>
          <w:color w:val="404040"/>
          <w:sz w:val="22"/>
          <w:szCs w:val="22"/>
        </w:rPr>
        <w:t xml:space="preserve">$FTRA token trading on the main exchange</w:t>
      </w:r>
    </w:p>
    <w:p>
      <w:pPr>
        <w:pStyle w:val="ListParagraph"/>
        <w:numPr>
          <w:ilvl w:val="0"/>
          <w:numId w:val="2"/>
        </w:numPr>
        <w:spacing w:before="50" w:after="50"/>
      </w:pPr>
      <w:r>
        <w:rPr>
          <w:rFonts w:ascii="Arial" w:cs="Arial" w:eastAsia="Arial" w:hAnsi="Arial"/>
          <w:b w:val="false"/>
          <w:bCs w:val="false"/>
          <w:color w:val="404040"/>
          <w:sz w:val="22"/>
          <w:szCs w:val="22"/>
        </w:rPr>
        <w:t xml:space="preserve">Stablecoins (digital currencies pegged to a fiat currency like the US dollar)</w:t>
      </w:r>
    </w:p>
    <w:p>
      <w:pPr>
        <w:pStyle w:val="ListParagraph"/>
        <w:numPr>
          <w:ilvl w:val="0"/>
          <w:numId w:val="2"/>
        </w:numPr>
        <w:spacing w:before="50" w:after="50"/>
      </w:pPr>
      <w:r>
        <w:rPr>
          <w:rFonts w:ascii="Arial" w:cs="Arial" w:eastAsia="Arial" w:hAnsi="Arial"/>
          <w:b w:val="false"/>
          <w:bCs w:val="false"/>
          <w:color w:val="404040"/>
          <w:sz w:val="22"/>
          <w:szCs w:val="22"/>
        </w:rPr>
        <w:t xml:space="preserve">Structured investment products</w:t>
      </w:r>
    </w:p>
    <w:p>
      <w:pPr>
        <w:spacing w:before="80" w:after="80"/>
      </w:pPr>
      <w:r>
        <w:t xml:space="preserve"/>
      </w:r>
    </w:p>
    <w:p>
      <w:pPr>
        <w:pStyle w:val="Heading2"/>
        <w:spacing w:before="280" w:after="100"/>
      </w:pPr>
      <w:r>
        <w:rPr>
          <w:rFonts w:ascii="Arial" w:cs="Arial" w:eastAsia="Arial" w:hAnsi="Arial"/>
          <w:b/>
          <w:bCs/>
          <w:color w:val="1F4E79"/>
          <w:sz w:val="24"/>
          <w:szCs w:val="24"/>
        </w:rPr>
        <w:t xml:space="preserve">2.2  The Decentralised Exchange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BFBFBF" w:sz="1"/>
              <w:left w:val="single" w:color="BFBFBF" w:sz="1"/>
              <w:bottom w:val="single" w:color="BFBFBF" w:sz="1"/>
              <w:right w:val="single" w:color="BFBFBF" w:sz="1"/>
            </w:tcBorders>
            <w:shd w:fill="1F4E79" w:val="clear"/>
            <w:tcMar>
              <w:top w:type="dxa" w:w="140"/>
              <w:left w:type="dxa" w:w="80"/>
              <w:bottom w:type="dxa" w:w="140"/>
              <w:right w:type="dxa" w:w="80"/>
            </w:tcMar>
            <w:vAlign w:val="center"/>
          </w:tcPr>
          <w:p>
            <w:pPr>
              <w:jc w:val="center"/>
            </w:pPr>
            <w:r>
              <w:rPr>
                <w:rFonts w:ascii="Arial" w:cs="Arial" w:eastAsia="Arial" w:hAnsi="Arial"/>
                <w:b/>
                <w:bCs/>
                <w:color w:val="FFFFFF"/>
                <w:sz w:val="32"/>
                <w:szCs w:val="32"/>
              </w:rPr>
              <w:t xml:space="preserve">→</w:t>
            </w:r>
          </w:p>
        </w:tc>
        <w:tc>
          <w:tcPr>
            <w:tcW w:type="dxa" w:w="8720"/>
            <w:tcBorders>
              <w:top w:val="single" w:color="BFBFBF" w:sz="1"/>
              <w:left w:val="single" w:color="BFBFBF" w:sz="1"/>
              <w:bottom w:val="single" w:color="BFBFBF" w:sz="1"/>
              <w:right w:val="single" w:color="BFBFBF" w:sz="1"/>
            </w:tcBorders>
            <w:shd w:fill="DEEAF1" w:val="clear"/>
            <w:tcMar>
              <w:top w:type="dxa" w:w="140"/>
              <w:left w:type="dxa" w:w="200"/>
              <w:bottom w:type="dxa" w:w="140"/>
              <w:right w:type="dxa" w:w="200"/>
            </w:tcMar>
          </w:tcPr>
          <w:p>
            <w:r>
              <w:rPr>
                <w:rFonts w:ascii="Arial" w:cs="Arial" w:eastAsia="Arial" w:hAnsi="Arial"/>
                <w:b/>
                <w:bCs/>
                <w:color w:val="1F4E79"/>
                <w:sz w:val="22"/>
                <w:szCs w:val="22"/>
              </w:rPr>
              <w:t xml:space="preserve">What a decentralised exchange is — in plain English</w:t>
            </w:r>
          </w:p>
          <w:p>
            <w:pPr>
              <w:spacing w:before="60"/>
            </w:pPr>
            <w:r>
              <w:rPr>
                <w:rFonts w:ascii="Arial" w:cs="Arial" w:eastAsia="Arial" w:hAnsi="Arial"/>
                <w:color w:val="404040"/>
                <w:sz w:val="20"/>
                <w:szCs w:val="20"/>
              </w:rPr>
              <w:t xml:space="preserve">A decentralised exchange is not a company-run platform. It is a piece of software code published permanently to a public blockchain (a shared, tamper-proof ledger). Anyone with a compatible digital wallet can connect to that code and swap tokens directly with other users. Fuutura does not hold anyone's money. There is no Fuutura account to open. Users connect their own private wallets and trade directly. Our Panama company publishes the code — it does not run the exchange in the way a bank runs a service.</w:t>
            </w:r>
          </w:p>
        </w:tc>
      </w:tr>
    </w:tbl>
    <w:p>
      <w:pPr>
        <w:spacing w:before="80" w:after="80"/>
      </w:pPr>
      <w:r>
        <w:t xml:space="preserve"/>
      </w:r>
    </w:p>
    <w:p>
      <w:pPr>
        <w:spacing w:before="200" w:after="80"/>
      </w:pPr>
      <w:r>
        <w:rPr>
          <w:rFonts w:ascii="Arial" w:cs="Arial" w:eastAsia="Arial" w:hAnsi="Arial"/>
          <w:b/>
          <w:bCs/>
          <w:color w:val="404040"/>
          <w:sz w:val="22"/>
          <w:szCs w:val="22"/>
        </w:rPr>
        <w:t xml:space="preserve">What can be traded on the decentralised exchange</w:t>
      </w:r>
    </w:p>
    <w:p>
      <w:pPr>
        <w:spacing w:before="60" w:after="90"/>
      </w:pPr>
      <w:r>
        <w:rPr>
          <w:rFonts w:ascii="Arial" w:cs="Arial" w:eastAsia="Arial" w:hAnsi="Arial"/>
          <w:color w:val="404040"/>
          <w:sz w:val="22"/>
          <w:szCs w:val="22"/>
        </w:rPr>
        <w:t xml:space="preserve">The decentralised exchange supports the swapping of digital tokens. At Stage 1, this means:</w:t>
      </w:r>
    </w:p>
    <w:p>
      <w:pPr>
        <w:pStyle w:val="ListParagraph"/>
        <w:numPr>
          <w:ilvl w:val="0"/>
          <w:numId w:val="2"/>
        </w:numPr>
        <w:spacing w:before="50" w:after="50"/>
      </w:pPr>
      <w:r>
        <w:rPr>
          <w:rFonts w:ascii="Arial" w:cs="Arial" w:eastAsia="Arial" w:hAnsi="Arial"/>
          <w:b w:val="false"/>
          <w:bCs w:val="false"/>
          <w:color w:val="404040"/>
          <w:sz w:val="22"/>
          <w:szCs w:val="22"/>
        </w:rPr>
        <w:t xml:space="preserve">$FTRA tokens — users can swap $FTRA for other supported tokens and vice versa</w:t>
      </w:r>
    </w:p>
    <w:p>
      <w:pPr>
        <w:pStyle w:val="ListParagraph"/>
        <w:numPr>
          <w:ilvl w:val="0"/>
          <w:numId w:val="2"/>
        </w:numPr>
        <w:spacing w:before="50" w:after="50"/>
      </w:pPr>
      <w:r>
        <w:rPr>
          <w:rFonts w:ascii="Arial" w:cs="Arial" w:eastAsia="Arial" w:hAnsi="Arial"/>
          <w:b w:val="false"/>
          <w:bCs w:val="false"/>
          <w:color w:val="404040"/>
          <w:sz w:val="22"/>
          <w:szCs w:val="22"/>
        </w:rPr>
        <w:t xml:space="preserve">Other standard cryptocurrency tokens listed by the exchange protocol</w:t>
      </w:r>
    </w:p>
    <w:p>
      <w:pPr>
        <w:spacing w:before="80" w:after="80"/>
      </w:pPr>
      <w:r>
        <w:t xml:space="preserve"/>
      </w:r>
    </w:p>
    <w:p>
      <w:pPr>
        <w:spacing w:before="200" w:after="80"/>
      </w:pPr>
      <w:r>
        <w:rPr>
          <w:rFonts w:ascii="Arial" w:cs="Arial" w:eastAsia="Arial" w:hAnsi="Arial"/>
          <w:b/>
          <w:bCs/>
          <w:color w:val="404040"/>
          <w:sz w:val="22"/>
          <w:szCs w:val="22"/>
        </w:rPr>
        <w:t xml:space="preserve">What cannot be traded on the decentralised exchange</w:t>
      </w:r>
    </w:p>
    <w:p>
      <w:pPr>
        <w:spacing w:before="60" w:after="90"/>
      </w:pPr>
      <w:r>
        <w:rPr>
          <w:rFonts w:ascii="Arial" w:cs="Arial" w:eastAsia="Arial" w:hAnsi="Arial"/>
          <w:color w:val="404040"/>
          <w:sz w:val="22"/>
          <w:szCs w:val="22"/>
        </w:rPr>
        <w:t xml:space="preserve">The decentralised exchange is not a financial market. It cannot and does not support: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1"/>
              <w:left w:val="single" w:color="BFBFBF" w:sz="1"/>
              <w:bottom w:val="single" w:color="BFBFBF" w:sz="1"/>
              <w:right w:val="single" w:color="BFBFBF" w:sz="1"/>
            </w:tcBorders>
            <w:shd w:fill="1A1A2E" w:val="clear"/>
            <w:tcMar>
              <w:top w:type="dxa" w:w="110"/>
              <w:left w:type="dxa" w:w="140"/>
              <w:bottom w:type="dxa" w:w="110"/>
              <w:right w:type="dxa" w:w="140"/>
            </w:tcMar>
          </w:tcPr>
          <w:p>
            <w:pPr>
              <w:jc w:val="center"/>
            </w:pPr>
            <w:r>
              <w:rPr>
                <w:rFonts w:ascii="Arial" w:cs="Arial" w:eastAsia="Arial" w:hAnsi="Arial"/>
                <w:b/>
                <w:bCs/>
                <w:color w:val="FFFFFF"/>
                <w:sz w:val="19"/>
                <w:szCs w:val="19"/>
              </w:rPr>
              <w:t xml:space="preserve">Cannot be traded</w:t>
            </w:r>
          </w:p>
        </w:tc>
        <w:tc>
          <w:tcPr>
            <w:tcW w:type="dxa" w:w="6960"/>
            <w:tcBorders>
              <w:top w:val="single" w:color="BFBFBF" w:sz="1"/>
              <w:left w:val="single" w:color="BFBFBF" w:sz="1"/>
              <w:bottom w:val="single" w:color="BFBFBF" w:sz="1"/>
              <w:right w:val="single" w:color="BFBFBF" w:sz="1"/>
            </w:tcBorders>
            <w:shd w:fill="1A1A2E" w:val="clear"/>
            <w:tcMar>
              <w:top w:type="dxa" w:w="110"/>
              <w:left w:type="dxa" w:w="140"/>
              <w:bottom w:type="dxa" w:w="110"/>
              <w:right w:type="dxa" w:w="140"/>
            </w:tcMar>
          </w:tcPr>
          <w:p>
            <w:pPr>
              <w:jc w:val="center"/>
            </w:pPr>
            <w:r>
              <w:rPr>
                <w:rFonts w:ascii="Arial" w:cs="Arial" w:eastAsia="Arial" w:hAnsi="Arial"/>
                <w:b/>
                <w:bCs/>
                <w:color w:val="FFFFFF"/>
                <w:sz w:val="19"/>
                <w:szCs w:val="19"/>
              </w:rPr>
              <w:t xml:space="preserve">Explanation</w:t>
            </w:r>
          </w:p>
        </w:tc>
      </w:tr>
      <w:tr>
        <w:tc>
          <w:tcPr>
            <w:tcW w:type="dxa" w:w="2400"/>
            <w:tcBorders>
              <w:top w:val="single" w:color="BFBFBF" w:sz="1"/>
              <w:left w:val="single" w:color="BFBFBF" w:sz="1"/>
              <w:bottom w:val="single" w:color="BFBFBF" w:sz="1"/>
              <w:right w:val="single" w:color="BFBFBF" w:sz="1"/>
            </w:tcBorders>
            <w:shd w:fill="FCE4E4" w:val="clear"/>
            <w:tcMar>
              <w:top w:type="dxa" w:w="100"/>
              <w:left w:type="dxa" w:w="140"/>
              <w:bottom w:type="dxa" w:w="100"/>
              <w:right w:type="dxa" w:w="140"/>
            </w:tcMar>
            <w:vAlign w:val="center"/>
          </w:tcPr>
          <w:p>
            <w:pPr>
              <w:jc w:val="left"/>
            </w:pPr>
            <w:r>
              <w:rPr>
                <w:rFonts w:ascii="Arial" w:cs="Arial" w:eastAsia="Arial" w:hAnsi="Arial"/>
                <w:b/>
                <w:bCs/>
                <w:color w:val="404040"/>
                <w:sz w:val="18"/>
                <w:szCs w:val="18"/>
              </w:rPr>
              <w:t xml:space="preserve">Foreign currency pairs (for example, GBP/USD, EUR/USD, USD/PKR)</w:t>
            </w:r>
          </w:p>
        </w:tc>
        <w:tc>
          <w:tcPr>
            <w:tcW w:type="dxa" w:w="6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18"/>
                <w:szCs w:val="18"/>
              </w:rPr>
              <w:t xml:space="preserve">These are traditional foreign exchange (forex) markets. Our decentralised exchange only handles digital tokens — it does not connect to forex markets or allow currency conversion between government-issued currencies.</w:t>
            </w:r>
          </w:p>
        </w:tc>
      </w:tr>
      <w:tr>
        <w:tc>
          <w:tcPr>
            <w:tcW w:type="dxa" w:w="2400"/>
            <w:tcBorders>
              <w:top w:val="single" w:color="BFBFBF" w:sz="1"/>
              <w:left w:val="single" w:color="BFBFBF" w:sz="1"/>
              <w:bottom w:val="single" w:color="BFBFBF" w:sz="1"/>
              <w:right w:val="single" w:color="BFBFBF" w:sz="1"/>
            </w:tcBorders>
            <w:shd w:fill="FCE4E4" w:val="clear"/>
            <w:tcMar>
              <w:top w:type="dxa" w:w="100"/>
              <w:left w:type="dxa" w:w="140"/>
              <w:bottom w:type="dxa" w:w="100"/>
              <w:right w:type="dxa" w:w="140"/>
            </w:tcMar>
            <w:vAlign w:val="center"/>
          </w:tcPr>
          <w:p>
            <w:pPr>
              <w:jc w:val="left"/>
            </w:pPr>
            <w:r>
              <w:rPr>
                <w:rFonts w:ascii="Arial" w:cs="Arial" w:eastAsia="Arial" w:hAnsi="Arial"/>
                <w:b/>
                <w:bCs/>
                <w:color w:val="404040"/>
                <w:sz w:val="18"/>
                <w:szCs w:val="18"/>
              </w:rPr>
              <w:t xml:space="preserve">Futures contracts</w:t>
            </w:r>
          </w:p>
        </w:tc>
        <w:tc>
          <w:tcPr>
            <w:tcW w:type="dxa" w:w="6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18"/>
                <w:szCs w:val="18"/>
              </w:rPr>
              <w:t xml:space="preserve">A futures contract is an agreement to buy or sell something at a set price on a future date. Our decentralised exchange does not support derivatives of this kind. These are complex financial instruments that require specific regulatory permissions we do not yet hold.</w:t>
            </w:r>
          </w:p>
        </w:tc>
      </w:tr>
      <w:tr>
        <w:tc>
          <w:tcPr>
            <w:tcW w:type="dxa" w:w="2400"/>
            <w:tcBorders>
              <w:top w:val="single" w:color="BFBFBF" w:sz="1"/>
              <w:left w:val="single" w:color="BFBFBF" w:sz="1"/>
              <w:bottom w:val="single" w:color="BFBFBF" w:sz="1"/>
              <w:right w:val="single" w:color="BFBFBF" w:sz="1"/>
            </w:tcBorders>
            <w:shd w:fill="FCE4E4" w:val="clear"/>
            <w:tcMar>
              <w:top w:type="dxa" w:w="100"/>
              <w:left w:type="dxa" w:w="140"/>
              <w:bottom w:type="dxa" w:w="100"/>
              <w:right w:type="dxa" w:w="140"/>
            </w:tcMar>
            <w:vAlign w:val="center"/>
          </w:tcPr>
          <w:p>
            <w:pPr>
              <w:jc w:val="left"/>
            </w:pPr>
            <w:r>
              <w:rPr>
                <w:rFonts w:ascii="Arial" w:cs="Arial" w:eastAsia="Arial" w:hAnsi="Arial"/>
                <w:b/>
                <w:bCs/>
                <w:color w:val="404040"/>
                <w:sz w:val="18"/>
                <w:szCs w:val="18"/>
              </w:rPr>
              <w:t xml:space="preserve">Tokenised real-world assets (for example, tokenised shares, tokenised property, tokenised bonds)</w:t>
            </w:r>
          </w:p>
        </w:tc>
        <w:tc>
          <w:tcPr>
            <w:tcW w:type="dxa" w:w="6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18"/>
                <w:szCs w:val="18"/>
              </w:rPr>
              <w:t xml:space="preserve">A tokenised asset is a digital representation of something in the real world — a share in a company, a piece of property, a government bond. Our decentralised exchange does not list these instruments at Stage 1 or Stage 2 without specific further regulatory clearance.</w:t>
            </w:r>
          </w:p>
        </w:tc>
      </w:tr>
      <w:tr>
        <w:tc>
          <w:tcPr>
            <w:tcW w:type="dxa" w:w="2400"/>
            <w:tcBorders>
              <w:top w:val="single" w:color="BFBFBF" w:sz="1"/>
              <w:left w:val="single" w:color="BFBFBF" w:sz="1"/>
              <w:bottom w:val="single" w:color="BFBFBF" w:sz="1"/>
              <w:right w:val="single" w:color="BFBFBF" w:sz="1"/>
            </w:tcBorders>
            <w:shd w:fill="FCE4E4" w:val="clear"/>
            <w:tcMar>
              <w:top w:type="dxa" w:w="100"/>
              <w:left w:type="dxa" w:w="140"/>
              <w:bottom w:type="dxa" w:w="100"/>
              <w:right w:type="dxa" w:w="140"/>
            </w:tcMar>
            <w:vAlign w:val="center"/>
          </w:tcPr>
          <w:p>
            <w:pPr>
              <w:jc w:val="left"/>
            </w:pPr>
            <w:r>
              <w:rPr>
                <w:rFonts w:ascii="Arial" w:cs="Arial" w:eastAsia="Arial" w:hAnsi="Arial"/>
                <w:b/>
                <w:bCs/>
                <w:color w:val="404040"/>
                <w:sz w:val="18"/>
                <w:szCs w:val="18"/>
              </w:rPr>
              <w:t xml:space="preserve">Stablecoins issued by Fuutura</w:t>
            </w:r>
          </w:p>
        </w:tc>
        <w:tc>
          <w:tcPr>
            <w:tcW w:type="dxa" w:w="6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18"/>
                <w:szCs w:val="18"/>
              </w:rPr>
              <w:t xml:space="preserve">We may list third-party stablecoins in future. Fuutura-issued stablecoins require the full digital asset service licence (Stage 2).</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BFBFBF" w:sz="1"/>
              <w:left w:val="single" w:color="BFBFBF" w:sz="1"/>
              <w:bottom w:val="single" w:color="BFBFBF" w:sz="1"/>
              <w:right w:val="single" w:color="BFBFBF" w:sz="1"/>
            </w:tcBorders>
            <w:shd w:fill="B06000" w:val="clear"/>
            <w:tcMar>
              <w:top w:type="dxa" w:w="140"/>
              <w:left w:type="dxa" w:w="80"/>
              <w:bottom w:type="dxa" w:w="140"/>
              <w:right w:type="dxa" w:w="80"/>
            </w:tcMar>
            <w:vAlign w:val="center"/>
          </w:tcPr>
          <w:p>
            <w:pPr>
              <w:jc w:val="center"/>
            </w:pPr>
            <w:r>
              <w:rPr>
                <w:rFonts w:ascii="Arial" w:cs="Arial" w:eastAsia="Arial" w:hAnsi="Arial"/>
                <w:b/>
                <w:bCs/>
                <w:color w:val="FFFFFF"/>
                <w:sz w:val="32"/>
                <w:szCs w:val="32"/>
              </w:rPr>
              <w:t xml:space="preserve">!</w:t>
            </w:r>
          </w:p>
        </w:tc>
        <w:tc>
          <w:tcPr>
            <w:tcW w:type="dxa" w:w="8720"/>
            <w:tcBorders>
              <w:top w:val="single" w:color="BFBFBF" w:sz="1"/>
              <w:left w:val="single" w:color="BFBFBF" w:sz="1"/>
              <w:bottom w:val="single" w:color="BFBFBF" w:sz="1"/>
              <w:right w:val="single" w:color="BFBFBF" w:sz="1"/>
            </w:tcBorders>
            <w:shd w:fill="FFF2CC" w:val="clear"/>
            <w:tcMar>
              <w:top w:type="dxa" w:w="140"/>
              <w:left w:type="dxa" w:w="200"/>
              <w:bottom w:type="dxa" w:w="140"/>
              <w:right w:type="dxa" w:w="200"/>
            </w:tcMar>
          </w:tcPr>
          <w:p>
            <w:r>
              <w:rPr>
                <w:rFonts w:ascii="Arial" w:cs="Arial" w:eastAsia="Arial" w:hAnsi="Arial"/>
                <w:b/>
                <w:bCs/>
                <w:color w:val="B06000"/>
                <w:sz w:val="22"/>
                <w:szCs w:val="22"/>
              </w:rPr>
              <w:t xml:space="preserve">Do not say we offer forex, futures, or tokenised real-world assets</w:t>
            </w:r>
          </w:p>
          <w:p>
            <w:pPr>
              <w:spacing w:before="60"/>
            </w:pPr>
            <w:r>
              <w:rPr>
                <w:rFonts w:ascii="Arial" w:cs="Arial" w:eastAsia="Arial" w:hAnsi="Arial"/>
                <w:color w:val="404040"/>
                <w:sz w:val="20"/>
                <w:szCs w:val="20"/>
              </w:rPr>
              <w:t xml:space="preserve">If anyone on the team publishes content suggesting Fuutura's decentralised exchange allows users to trade foreign currencies, futures, or tokenised stocks and bonds, this is factually wrong, potentially misleading to investors, and may trigger financial product regulations in multiple countries. If a partner or influencer pitches content along these lines, reject it and notify Legal.</w:t>
            </w:r>
          </w:p>
        </w:tc>
      </w:tr>
    </w:tbl>
    <w:p>
      <w:pPr>
        <w:pBdr>
          <w:bottom w:val="single" w:color="DDDDDD" w:sz="4" w:space="1"/>
        </w:pBdr>
        <w:spacing w:before="180" w:after="180"/>
      </w:pPr>
      <w:r>
        <w:t xml:space="preserve"/>
      </w:r>
    </w:p>
    <w:p>
      <w:pPr>
        <w:pStyle w:val="Heading1"/>
        <w:spacing w:before="400" w:after="140"/>
      </w:pPr>
      <w:r>
        <w:rPr>
          <w:rFonts w:ascii="Arial" w:cs="Arial" w:eastAsia="Arial" w:hAnsi="Arial"/>
          <w:b/>
          <w:bCs/>
          <w:color w:val="1A1A2E"/>
          <w:sz w:val="30"/>
          <w:szCs w:val="30"/>
        </w:rPr>
        <w:t xml:space="preserve">3. The Five Rules That Never Change</w:t>
      </w:r>
    </w:p>
    <w:p>
      <w:pPr>
        <w:spacing w:before="60" w:after="90"/>
      </w:pPr>
      <w:r>
        <w:rPr>
          <w:rFonts w:ascii="Arial" w:cs="Arial" w:eastAsia="Arial" w:hAnsi="Arial"/>
          <w:color w:val="404040"/>
          <w:sz w:val="22"/>
          <w:szCs w:val="22"/>
        </w:rPr>
        <w:t xml:space="preserve">These rules apply at Stage 1 and Stage 2. They do not change when we get additional licences. They only change when we receive a specific licence for a specific country — and even then, only for that country.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BFBFBF" w:sz="1"/>
              <w:left w:val="single" w:color="BFBFBF" w:sz="1"/>
              <w:bottom w:val="single" w:color="BFBFBF" w:sz="1"/>
              <w:right w:val="single" w:color="BFBFBF" w:sz="1"/>
            </w:tcBorders>
            <w:shd w:fill="C00000" w:val="clear"/>
            <w:tcMar>
              <w:top w:type="dxa" w:w="140"/>
              <w:left w:type="dxa" w:w="80"/>
              <w:bottom w:type="dxa" w:w="140"/>
              <w:right w:type="dxa" w:w="80"/>
            </w:tcMar>
            <w:vAlign w:val="center"/>
          </w:tcPr>
          <w:p>
            <w:pPr>
              <w:jc w:val="center"/>
            </w:pPr>
            <w:r>
              <w:rPr>
                <w:rFonts w:ascii="Arial" w:cs="Arial" w:eastAsia="Arial" w:hAnsi="Arial"/>
                <w:b/>
                <w:bCs/>
                <w:color w:val="FFFFFF"/>
                <w:sz w:val="32"/>
                <w:szCs w:val="32"/>
              </w:rPr>
              <w:t xml:space="preserve">1</w:t>
            </w:r>
          </w:p>
        </w:tc>
        <w:tc>
          <w:tcPr>
            <w:tcW w:type="dxa" w:w="8720"/>
            <w:tcBorders>
              <w:top w:val="single" w:color="BFBFBF" w:sz="1"/>
              <w:left w:val="single" w:color="BFBFBF" w:sz="1"/>
              <w:bottom w:val="single" w:color="BFBFBF" w:sz="1"/>
              <w:right w:val="single" w:color="BFBFBF" w:sz="1"/>
            </w:tcBorders>
            <w:shd w:fill="FCE4E4" w:val="clear"/>
            <w:tcMar>
              <w:top w:type="dxa" w:w="140"/>
              <w:left w:type="dxa" w:w="200"/>
              <w:bottom w:type="dxa" w:w="140"/>
              <w:right w:type="dxa" w:w="200"/>
            </w:tcMar>
          </w:tcPr>
          <w:p>
            <w:r>
              <w:rPr>
                <w:rFonts w:ascii="Arial" w:cs="Arial" w:eastAsia="Arial" w:hAnsi="Arial"/>
                <w:b/>
                <w:bCs/>
                <w:color w:val="C00000"/>
                <w:sz w:val="22"/>
                <w:szCs w:val="22"/>
              </w:rPr>
              <w:t xml:space="preserve">Never use location-targeted paid advertising</w:t>
            </w:r>
          </w:p>
          <w:p>
            <w:pPr>
              <w:spacing w:before="60"/>
            </w:pPr>
            <w:r>
              <w:rPr>
                <w:rFonts w:ascii="Arial" w:cs="Arial" w:eastAsia="Arial" w:hAnsi="Arial"/>
                <w:color w:val="404040"/>
                <w:sz w:val="20"/>
                <w:szCs w:val="20"/>
              </w:rPr>
              <w:t xml:space="preserve">When you run a paid advert on Google, Facebook, Instagram, X (formerly Twitter), TikTok, YouTube, or any other platform, you can choose to show it only to people in a specific country or region. We are not allowed to do this — ever, on any platform, for any Fuutura entity. Even running a 'general awareness' campaign that you set to show in Pakistan, the UK, or the UAE is prohibited. This would be classed as directly soliciting customers in a country where we are not yet licensed to do so.</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BFBFBF" w:sz="1"/>
              <w:left w:val="single" w:color="BFBFBF" w:sz="1"/>
              <w:bottom w:val="single" w:color="BFBFBF" w:sz="1"/>
              <w:right w:val="single" w:color="BFBFBF" w:sz="1"/>
            </w:tcBorders>
            <w:shd w:fill="C00000" w:val="clear"/>
            <w:tcMar>
              <w:top w:type="dxa" w:w="140"/>
              <w:left w:type="dxa" w:w="80"/>
              <w:bottom w:type="dxa" w:w="140"/>
              <w:right w:type="dxa" w:w="80"/>
            </w:tcMar>
            <w:vAlign w:val="center"/>
          </w:tcPr>
          <w:p>
            <w:pPr>
              <w:jc w:val="center"/>
            </w:pPr>
            <w:r>
              <w:rPr>
                <w:rFonts w:ascii="Arial" w:cs="Arial" w:eastAsia="Arial" w:hAnsi="Arial"/>
                <w:b/>
                <w:bCs/>
                <w:color w:val="FFFFFF"/>
                <w:sz w:val="32"/>
                <w:szCs w:val="32"/>
              </w:rPr>
              <w:t xml:space="preserve">2</w:t>
            </w:r>
          </w:p>
        </w:tc>
        <w:tc>
          <w:tcPr>
            <w:tcW w:type="dxa" w:w="8720"/>
            <w:tcBorders>
              <w:top w:val="single" w:color="BFBFBF" w:sz="1"/>
              <w:left w:val="single" w:color="BFBFBF" w:sz="1"/>
              <w:bottom w:val="single" w:color="BFBFBF" w:sz="1"/>
              <w:right w:val="single" w:color="BFBFBF" w:sz="1"/>
            </w:tcBorders>
            <w:shd w:fill="FCE4E4" w:val="clear"/>
            <w:tcMar>
              <w:top w:type="dxa" w:w="140"/>
              <w:left w:type="dxa" w:w="200"/>
              <w:bottom w:type="dxa" w:w="140"/>
              <w:right w:type="dxa" w:w="200"/>
            </w:tcMar>
          </w:tcPr>
          <w:p>
            <w:r>
              <w:rPr>
                <w:rFonts w:ascii="Arial" w:cs="Arial" w:eastAsia="Arial" w:hAnsi="Arial"/>
                <w:b/>
                <w:bCs/>
                <w:color w:val="C00000"/>
                <w:sz w:val="22"/>
                <w:szCs w:val="22"/>
              </w:rPr>
              <w:t xml:space="preserve">All content must be in English — no exceptions without Legal approval</w:t>
            </w:r>
          </w:p>
          <w:p>
            <w:pPr>
              <w:spacing w:before="60"/>
            </w:pPr>
            <w:r>
              <w:rPr>
                <w:rFonts w:ascii="Arial" w:cs="Arial" w:eastAsia="Arial" w:hAnsi="Arial"/>
                <w:color w:val="404040"/>
                <w:sz w:val="20"/>
                <w:szCs w:val="20"/>
              </w:rPr>
              <w:t xml:space="preserve">Every press release, social media post, website page, advertisement creative, and marketing material published by Fuutura must be in English only. Publishing content in Urdu, Arabic, Mandarin, Hindi, or any other language is treated by regulators as specifically targeting users who speak that language. Legal must approve any exception before it is published.</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BFBFBF" w:sz="1"/>
              <w:left w:val="single" w:color="BFBFBF" w:sz="1"/>
              <w:bottom w:val="single" w:color="BFBFBF" w:sz="1"/>
              <w:right w:val="single" w:color="BFBFBF" w:sz="1"/>
            </w:tcBorders>
            <w:shd w:fill="C00000" w:val="clear"/>
            <w:tcMar>
              <w:top w:type="dxa" w:w="140"/>
              <w:left w:type="dxa" w:w="80"/>
              <w:bottom w:type="dxa" w:w="140"/>
              <w:right w:type="dxa" w:w="80"/>
            </w:tcMar>
            <w:vAlign w:val="center"/>
          </w:tcPr>
          <w:p>
            <w:pPr>
              <w:jc w:val="center"/>
            </w:pPr>
            <w:r>
              <w:rPr>
                <w:rFonts w:ascii="Arial" w:cs="Arial" w:eastAsia="Arial" w:hAnsi="Arial"/>
                <w:b/>
                <w:bCs/>
                <w:color w:val="FFFFFF"/>
                <w:sz w:val="32"/>
                <w:szCs w:val="32"/>
              </w:rPr>
              <w:t xml:space="preserve">3</w:t>
            </w:r>
          </w:p>
        </w:tc>
        <w:tc>
          <w:tcPr>
            <w:tcW w:type="dxa" w:w="8720"/>
            <w:tcBorders>
              <w:top w:val="single" w:color="BFBFBF" w:sz="1"/>
              <w:left w:val="single" w:color="BFBFBF" w:sz="1"/>
              <w:bottom w:val="single" w:color="BFBFBF" w:sz="1"/>
              <w:right w:val="single" w:color="BFBFBF" w:sz="1"/>
            </w:tcBorders>
            <w:shd w:fill="FCE4E4" w:val="clear"/>
            <w:tcMar>
              <w:top w:type="dxa" w:w="140"/>
              <w:left w:type="dxa" w:w="200"/>
              <w:bottom w:type="dxa" w:w="140"/>
              <w:right w:type="dxa" w:w="200"/>
            </w:tcMar>
          </w:tcPr>
          <w:p>
            <w:r>
              <w:rPr>
                <w:rFonts w:ascii="Arial" w:cs="Arial" w:eastAsia="Arial" w:hAnsi="Arial"/>
                <w:b/>
                <w:bCs/>
                <w:color w:val="C00000"/>
                <w:sz w:val="22"/>
                <w:szCs w:val="22"/>
              </w:rPr>
              <w:t xml:space="preserve">Do not name any country we are not licensed in as a user market</w:t>
            </w:r>
          </w:p>
          <w:p>
            <w:pPr>
              <w:spacing w:before="60"/>
            </w:pPr>
            <w:r>
              <w:rPr>
                <w:rFonts w:ascii="Arial" w:cs="Arial" w:eastAsia="Arial" w:hAnsi="Arial"/>
                <w:color w:val="404040"/>
                <w:sz w:val="20"/>
                <w:szCs w:val="20"/>
              </w:rPr>
              <w:t xml:space="preserve">You must not publish content that says — or strongly implies — that users in a specific country can currently use Fuutura's main exchange. Countries where we are not yet licensed include Pakistan, the UAE, the UK, and any country in the European Union. The Global South narrative (see Section 5) is permitted at a broad level. 'Available to Pakistani users' is not.</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BFBFBF" w:sz="1"/>
              <w:left w:val="single" w:color="BFBFBF" w:sz="1"/>
              <w:bottom w:val="single" w:color="BFBFBF" w:sz="1"/>
              <w:right w:val="single" w:color="BFBFBF" w:sz="1"/>
            </w:tcBorders>
            <w:shd w:fill="C00000" w:val="clear"/>
            <w:tcMar>
              <w:top w:type="dxa" w:w="140"/>
              <w:left w:type="dxa" w:w="80"/>
              <w:bottom w:type="dxa" w:w="140"/>
              <w:right w:type="dxa" w:w="80"/>
            </w:tcMar>
            <w:vAlign w:val="center"/>
          </w:tcPr>
          <w:p>
            <w:pPr>
              <w:jc w:val="center"/>
            </w:pPr>
            <w:r>
              <w:rPr>
                <w:rFonts w:ascii="Arial" w:cs="Arial" w:eastAsia="Arial" w:hAnsi="Arial"/>
                <w:b/>
                <w:bCs/>
                <w:color w:val="FFFFFF"/>
                <w:sz w:val="32"/>
                <w:szCs w:val="32"/>
              </w:rPr>
              <w:t xml:space="preserve">4</w:t>
            </w:r>
          </w:p>
        </w:tc>
        <w:tc>
          <w:tcPr>
            <w:tcW w:type="dxa" w:w="8720"/>
            <w:tcBorders>
              <w:top w:val="single" w:color="BFBFBF" w:sz="1"/>
              <w:left w:val="single" w:color="BFBFBF" w:sz="1"/>
              <w:bottom w:val="single" w:color="BFBFBF" w:sz="1"/>
              <w:right w:val="single" w:color="BFBFBF" w:sz="1"/>
            </w:tcBorders>
            <w:shd w:fill="FCE4E4" w:val="clear"/>
            <w:tcMar>
              <w:top w:type="dxa" w:w="140"/>
              <w:left w:type="dxa" w:w="200"/>
              <w:bottom w:type="dxa" w:w="140"/>
              <w:right w:type="dxa" w:w="200"/>
            </w:tcMar>
          </w:tcPr>
          <w:p>
            <w:r>
              <w:rPr>
                <w:rFonts w:ascii="Arial" w:cs="Arial" w:eastAsia="Arial" w:hAnsi="Arial"/>
                <w:b/>
                <w:bCs/>
                <w:color w:val="C00000"/>
                <w:sz w:val="22"/>
                <w:szCs w:val="22"/>
              </w:rPr>
              <w:t xml:space="preserve">Do not put a direct sign-up link in press releases</w:t>
            </w:r>
          </w:p>
          <w:p>
            <w:pPr>
              <w:spacing w:before="60"/>
            </w:pPr>
            <w:r>
              <w:rPr>
                <w:rFonts w:ascii="Arial" w:cs="Arial" w:eastAsia="Arial" w:hAnsi="Arial"/>
                <w:color w:val="404040"/>
                <w:sz w:val="20"/>
                <w:szCs w:val="20"/>
              </w:rPr>
              <w:t xml:space="preserve">A press release issued by our Panama company must not include a 'sign up now at fuutura.io' call to action that directs readers straight to the exchange. Describe what Fuutura is and what it does. Let interested readers find the platform themselves. Adding a direct link turns a press announcement into active solicitation.</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BFBFBF" w:sz="1"/>
              <w:left w:val="single" w:color="BFBFBF" w:sz="1"/>
              <w:bottom w:val="single" w:color="BFBFBF" w:sz="1"/>
              <w:right w:val="single" w:color="BFBFBF" w:sz="1"/>
            </w:tcBorders>
            <w:shd w:fill="C00000" w:val="clear"/>
            <w:tcMar>
              <w:top w:type="dxa" w:w="140"/>
              <w:left w:type="dxa" w:w="80"/>
              <w:bottom w:type="dxa" w:w="140"/>
              <w:right w:type="dxa" w:w="80"/>
            </w:tcMar>
            <w:vAlign w:val="center"/>
          </w:tcPr>
          <w:p>
            <w:pPr>
              <w:jc w:val="center"/>
            </w:pPr>
            <w:r>
              <w:rPr>
                <w:rFonts w:ascii="Arial" w:cs="Arial" w:eastAsia="Arial" w:hAnsi="Arial"/>
                <w:b/>
                <w:bCs/>
                <w:color w:val="FFFFFF"/>
                <w:sz w:val="32"/>
                <w:szCs w:val="32"/>
              </w:rPr>
              <w:t xml:space="preserve">5</w:t>
            </w:r>
          </w:p>
        </w:tc>
        <w:tc>
          <w:tcPr>
            <w:tcW w:type="dxa" w:w="8720"/>
            <w:tcBorders>
              <w:top w:val="single" w:color="BFBFBF" w:sz="1"/>
              <w:left w:val="single" w:color="BFBFBF" w:sz="1"/>
              <w:bottom w:val="single" w:color="BFBFBF" w:sz="1"/>
              <w:right w:val="single" w:color="BFBFBF" w:sz="1"/>
            </w:tcBorders>
            <w:shd w:fill="FCE4E4" w:val="clear"/>
            <w:tcMar>
              <w:top w:type="dxa" w:w="140"/>
              <w:left w:type="dxa" w:w="200"/>
              <w:bottom w:type="dxa" w:w="140"/>
              <w:right w:type="dxa" w:w="200"/>
            </w:tcMar>
          </w:tcPr>
          <w:p>
            <w:r>
              <w:rPr>
                <w:rFonts w:ascii="Arial" w:cs="Arial" w:eastAsia="Arial" w:hAnsi="Arial"/>
                <w:b/>
                <w:bCs/>
                <w:color w:val="C00000"/>
                <w:sz w:val="22"/>
                <w:szCs w:val="22"/>
              </w:rPr>
              <w:t xml:space="preserve">No local influencers or referral partners in countries we are not licensed in</w:t>
            </w:r>
          </w:p>
          <w:p>
            <w:pPr>
              <w:spacing w:before="60"/>
            </w:pPr>
            <w:r>
              <w:rPr>
                <w:rFonts w:ascii="Arial" w:cs="Arial" w:eastAsia="Arial" w:hAnsi="Arial"/>
                <w:color w:val="404040"/>
                <w:sz w:val="20"/>
                <w:szCs w:val="20"/>
              </w:rPr>
              <w:t xml:space="preserve">Paying or incentivising a Pakistani, UAE, UK, or EU-based influencer to promote Fuutura to their local audience is the same as running a local marketing campaign — it does not matter that the influencer signs a contract with our Panama company. This is prohibited until we hold the relevant licence for that country.</w:t>
            </w:r>
          </w:p>
        </w:tc>
      </w:tr>
    </w:tbl>
    <w:p>
      <w:pPr>
        <w:pBdr>
          <w:bottom w:val="single" w:color="DDDDDD" w:sz="4" w:space="1"/>
        </w:pBdr>
        <w:spacing w:before="18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FBFBF" w:sz="1"/>
              <w:left w:val="single" w:color="BFBFBF" w:sz="1"/>
              <w:bottom w:val="single" w:color="BFBFBF" w:sz="1"/>
              <w:right w:val="single" w:color="BFBFBF" w:sz="1"/>
            </w:tcBorders>
            <w:shd w:fill="1F4E79" w:val="clear"/>
            <w:tcMar>
              <w:top w:type="dxa" w:w="180"/>
              <w:left w:type="dxa" w:w="100"/>
              <w:bottom w:type="dxa" w:w="180"/>
              <w:right w:type="dxa" w:w="100"/>
            </w:tcMar>
            <w:vAlign w:val="center"/>
          </w:tcPr>
          <w:p>
            <w:pPr>
              <w:jc w:val="center"/>
            </w:pPr>
            <w:r>
              <w:rPr>
                <w:rFonts w:ascii="Arial" w:cs="Arial" w:eastAsia="Arial" w:hAnsi="Arial"/>
                <w:b/>
                <w:bCs/>
                <w:color w:val="FFFFFF"/>
                <w:sz w:val="16"/>
                <w:szCs w:val="16"/>
              </w:rPr>
              <w:t xml:space="preserve">STAGE</w:t>
            </w:r>
          </w:p>
          <w:p>
            <w:pPr>
              <w:jc w:val="center"/>
            </w:pPr>
            <w:r>
              <w:rPr>
                <w:rFonts w:ascii="Arial" w:cs="Arial" w:eastAsia="Arial" w:hAnsi="Arial"/>
                <w:b/>
                <w:bCs/>
                <w:color w:val="FFFFFF"/>
                <w:sz w:val="52"/>
                <w:szCs w:val="52"/>
              </w:rPr>
              <w:t xml:space="preserve">1</w:t>
            </w:r>
          </w:p>
        </w:tc>
        <w:tc>
          <w:tcPr>
            <w:tcW w:type="dxa" w:w="8160"/>
            <w:tcBorders>
              <w:top w:val="single" w:color="BFBFBF" w:sz="1"/>
              <w:left w:val="single" w:color="BFBFBF" w:sz="1"/>
              <w:bottom w:val="single" w:color="BFBFBF" w:sz="1"/>
              <w:right w:val="single" w:color="BFBFBF" w:sz="1"/>
            </w:tcBorders>
            <w:shd w:fill="DEEAF1" w:val="clear"/>
            <w:tcMar>
              <w:top w:type="dxa" w:w="160"/>
              <w:left w:type="dxa" w:w="220"/>
              <w:bottom w:type="dxa" w:w="160"/>
              <w:right w:type="dxa" w:w="220"/>
            </w:tcMar>
            <w:vAlign w:val="center"/>
          </w:tcPr>
          <w:p>
            <w:r>
              <w:rPr>
                <w:rFonts w:ascii="Arial" w:cs="Arial" w:eastAsia="Arial" w:hAnsi="Arial"/>
                <w:b/>
                <w:bCs/>
                <w:color w:val="1F4E79"/>
                <w:sz w:val="28"/>
                <w:szCs w:val="28"/>
              </w:rPr>
              <w:t xml:space="preserve">Stage 1 — What We Can Say Right Now</w:t>
            </w:r>
          </w:p>
          <w:p>
            <w:pPr>
              <w:spacing w:before="60"/>
            </w:pPr>
            <w:r>
              <w:rPr>
                <w:rFonts w:ascii="Arial" w:cs="Arial" w:eastAsia="Arial" w:hAnsi="Arial"/>
                <w:i/>
                <w:iCs/>
                <w:color w:val="404040"/>
                <w:sz w:val="20"/>
                <w:szCs w:val="20"/>
              </w:rPr>
              <w:t xml:space="preserve">Bitcoin exchange licence from the Central Reserve Bank of El Salvador is active. Decentralised exchange is live on-chain.</w:t>
            </w:r>
          </w:p>
        </w:tc>
      </w:tr>
    </w:tbl>
    <w:p>
      <w:pPr>
        <w:spacing w:before="80" w:after="80"/>
      </w:pPr>
      <w:r>
        <w:t xml:space="preserve"/>
      </w:r>
    </w:p>
    <w:p>
      <w:pPr>
        <w:pStyle w:val="Heading2"/>
        <w:spacing w:before="280" w:after="100"/>
      </w:pPr>
      <w:r>
        <w:rPr>
          <w:rFonts w:ascii="Arial" w:cs="Arial" w:eastAsia="Arial" w:hAnsi="Arial"/>
          <w:b/>
          <w:bCs/>
          <w:color w:val="1F4E79"/>
          <w:sz w:val="24"/>
          <w:szCs w:val="24"/>
        </w:rPr>
        <w:t xml:space="preserve">4.1  The Global South Narrative — You Can Push This</w:t>
      </w:r>
    </w:p>
    <w:p>
      <w:pPr>
        <w:spacing w:before="60" w:after="90"/>
      </w:pPr>
      <w:r>
        <w:rPr>
          <w:rFonts w:ascii="Arial" w:cs="Arial" w:eastAsia="Arial" w:hAnsi="Arial"/>
          <w:color w:val="404040"/>
          <w:sz w:val="22"/>
          <w:szCs w:val="22"/>
        </w:rPr>
        <w:t xml:space="preserve">The story of why Fuutura exists is one of the most powerful things we can communicate, and we can tell it fully and confidently at Stage 1. Here is what is permitted and what is not when telling that story.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BFBFBF" w:sz="1"/>
              <w:left w:val="single" w:color="BFBFBF" w:sz="1"/>
              <w:bottom w:val="single" w:color="BFBFBF" w:sz="1"/>
              <w:right w:val="single" w:color="BFBFBF" w:sz="1"/>
            </w:tcBorders>
            <w:shd w:fill="375623" w:val="clear"/>
            <w:tcMar>
              <w:top w:type="dxa" w:w="140"/>
              <w:left w:type="dxa" w:w="80"/>
              <w:bottom w:type="dxa" w:w="140"/>
              <w:right w:type="dxa" w:w="80"/>
            </w:tcMar>
            <w:vAlign w:val="center"/>
          </w:tcPr>
          <w:p>
            <w:pPr>
              <w:jc w:val="center"/>
            </w:pPr>
            <w:r>
              <w:rPr>
                <w:rFonts w:ascii="Arial" w:cs="Arial" w:eastAsia="Arial" w:hAnsi="Arial"/>
                <w:b/>
                <w:bCs/>
                <w:color w:val="FFFFFF"/>
                <w:sz w:val="32"/>
                <w:szCs w:val="32"/>
              </w:rPr>
              <w:t xml:space="preserve">✓</w:t>
            </w:r>
          </w:p>
        </w:tc>
        <w:tc>
          <w:tcPr>
            <w:tcW w:type="dxa" w:w="8720"/>
            <w:tcBorders>
              <w:top w:val="single" w:color="BFBFBF" w:sz="1"/>
              <w:left w:val="single" w:color="BFBFBF" w:sz="1"/>
              <w:bottom w:val="single" w:color="BFBFBF" w:sz="1"/>
              <w:right w:val="single" w:color="BFBFBF" w:sz="1"/>
            </w:tcBorders>
            <w:shd w:fill="E2EFDA" w:val="clear"/>
            <w:tcMar>
              <w:top w:type="dxa" w:w="140"/>
              <w:left w:type="dxa" w:w="200"/>
              <w:bottom w:type="dxa" w:w="140"/>
              <w:right w:type="dxa" w:w="200"/>
            </w:tcMar>
          </w:tcPr>
          <w:p>
            <w:r>
              <w:rPr>
                <w:rFonts w:ascii="Arial" w:cs="Arial" w:eastAsia="Arial" w:hAnsi="Arial"/>
                <w:b/>
                <w:bCs/>
                <w:color w:val="375623"/>
                <w:sz w:val="22"/>
                <w:szCs w:val="22"/>
              </w:rPr>
              <w:t xml:space="preserve">You can tell the Global South story at a macro level</w:t>
            </w:r>
          </w:p>
          <w:p>
            <w:pPr>
              <w:spacing w:before="60"/>
            </w:pPr>
            <w:r>
              <w:rPr>
                <w:rFonts w:ascii="Arial" w:cs="Arial" w:eastAsia="Arial" w:hAnsi="Arial"/>
                <w:color w:val="404040"/>
                <w:sz w:val="20"/>
                <w:szCs w:val="20"/>
              </w:rPr>
              <w:t xml:space="preserve">It is permitted — and encouraged — to describe Fuutura's founding purpose: building financial infrastructure for people in developing markets who are underserved by the traditional banking system. You can talk about the size of the global remittance market, the cost of sending money across borders, and how blockchain technology can reduce those costs dramatically. You can frame Fuutura as part of a movement to give people in the Global South access to financial tools that people in wealthy countries take for granted.</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BFBFBF" w:sz="1"/>
              <w:left w:val="single" w:color="BFBFBF" w:sz="1"/>
              <w:bottom w:val="single" w:color="BFBFBF" w:sz="1"/>
              <w:right w:val="single" w:color="BFBFBF" w:sz="1"/>
            </w:tcBorders>
            <w:shd w:fill="375623" w:val="clear"/>
            <w:tcMar>
              <w:top w:type="dxa" w:w="140"/>
              <w:left w:type="dxa" w:w="80"/>
              <w:bottom w:type="dxa" w:w="140"/>
              <w:right w:type="dxa" w:w="80"/>
            </w:tcMar>
            <w:vAlign w:val="center"/>
          </w:tcPr>
          <w:p>
            <w:pPr>
              <w:jc w:val="center"/>
            </w:pPr>
            <w:r>
              <w:rPr>
                <w:rFonts w:ascii="Arial" w:cs="Arial" w:eastAsia="Arial" w:hAnsi="Arial"/>
                <w:b/>
                <w:bCs/>
                <w:color w:val="FFFFFF"/>
                <w:sz w:val="32"/>
                <w:szCs w:val="32"/>
              </w:rPr>
              <w:t xml:space="preserve">✓</w:t>
            </w:r>
          </w:p>
        </w:tc>
        <w:tc>
          <w:tcPr>
            <w:tcW w:type="dxa" w:w="8720"/>
            <w:tcBorders>
              <w:top w:val="single" w:color="BFBFBF" w:sz="1"/>
              <w:left w:val="single" w:color="BFBFBF" w:sz="1"/>
              <w:bottom w:val="single" w:color="BFBFBF" w:sz="1"/>
              <w:right w:val="single" w:color="BFBFBF" w:sz="1"/>
            </w:tcBorders>
            <w:shd w:fill="E2EFDA" w:val="clear"/>
            <w:tcMar>
              <w:top w:type="dxa" w:w="140"/>
              <w:left w:type="dxa" w:w="200"/>
              <w:bottom w:type="dxa" w:w="140"/>
              <w:right w:type="dxa" w:w="200"/>
            </w:tcMar>
          </w:tcPr>
          <w:p>
            <w:r>
              <w:rPr>
                <w:rFonts w:ascii="Arial" w:cs="Arial" w:eastAsia="Arial" w:hAnsi="Arial"/>
                <w:b/>
                <w:bCs/>
                <w:color w:val="375623"/>
                <w:sz w:val="22"/>
                <w:szCs w:val="22"/>
              </w:rPr>
              <w:t xml:space="preserve">You can describe the Pakistan remittance problem — as context, not as a current product</w:t>
            </w:r>
          </w:p>
          <w:p>
            <w:pPr>
              <w:spacing w:before="60"/>
            </w:pPr>
            <w:r>
              <w:rPr>
                <w:rFonts w:ascii="Arial" w:cs="Arial" w:eastAsia="Arial" w:hAnsi="Arial"/>
                <w:color w:val="404040"/>
                <w:sz w:val="20"/>
                <w:szCs w:val="20"/>
              </w:rPr>
              <w:t xml:space="preserve">Pakistan receives approximately $30 billion in remittances every year. A large proportion of that is lost to fees charged by traditional transfer services. You can describe this problem in press releases, thought leadership, and social content as the reason Fuutura was built. What you cannot say is that Pakistani users can currently send money home using Fuutura. That will be true when we hold our Pakistani licence — not yet.</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SAY THIS</w:t>
            </w:r>
          </w:p>
        </w:tc>
        <w:tc>
          <w:tcPr>
            <w:tcW w:type="dxa" w:w="4680"/>
            <w:tcBorders>
              <w:top w:val="single" w:color="BFBFBF" w:sz="1"/>
              <w:left w:val="single" w:color="BFBFBF" w:sz="1"/>
              <w:bottom w:val="single" w:color="BFBFBF" w:sz="1"/>
              <w:right w:val="single" w:color="BFBFBF" w:sz="1"/>
            </w:tcBorders>
            <w:shd w:fill="C0000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NOT THIS</w:t>
            </w:r>
          </w:p>
        </w:tc>
      </w:tr>
      <w:tr>
        <w:tc>
          <w:tcPr>
            <w:tcW w:type="dxa" w:w="4680"/>
            <w:tcBorders>
              <w:top w:val="single" w:color="BFBFBF" w:sz="1"/>
              <w:left w:val="single" w:color="BFBFBF" w:sz="1"/>
              <w:bottom w:val="single" w:color="BFBFBF" w:sz="1"/>
              <w:right w:val="single" w:color="BFBFBF" w:sz="1"/>
            </w:tcBorders>
            <w:shd w:fill="E2EFDA"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18"/>
                <w:szCs w:val="18"/>
              </w:rPr>
              <w:t xml:space="preserve">"Fuutura was built to give people in underserved markets access to the global financial system — at a fraction of the cost of traditional banking."</w:t>
            </w:r>
          </w:p>
        </w:tc>
        <w:tc>
          <w:tcPr>
            <w:tcW w:type="dxa" w:w="4680"/>
            <w:tcBorders>
              <w:top w:val="single" w:color="BFBFBF" w:sz="1"/>
              <w:left w:val="single" w:color="BFBFBF" w:sz="1"/>
              <w:bottom w:val="single" w:color="BFBFBF" w:sz="1"/>
              <w:right w:val="single" w:color="BFBFBF" w:sz="1"/>
            </w:tcBorders>
            <w:shd w:fill="FCE4E4"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18"/>
                <w:szCs w:val="18"/>
              </w:rPr>
              <w:t xml:space="preserve">"Pakistani users can now send money home with Fuutura."</w:t>
            </w:r>
          </w:p>
        </w:tc>
      </w:tr>
      <w:tr>
        <w:tc>
          <w:tcPr>
            <w:tcW w:type="dxa" w:w="4680"/>
            <w:tcBorders>
              <w:top w:val="single" w:color="BFBFBF" w:sz="1"/>
              <w:left w:val="single" w:color="BFBFBF" w:sz="1"/>
              <w:bottom w:val="single" w:color="BFBFBF" w:sz="1"/>
              <w:right w:val="single" w:color="BFBFBF" w:sz="1"/>
            </w:tcBorders>
            <w:shd w:fill="E2EFDA"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18"/>
                <w:szCs w:val="18"/>
              </w:rPr>
              <w:t xml:space="preserve">"Billions of dollars flow from Pakistani professionals abroad back to their families every year — and a significant portion is lost to fees. Fuutura exists to change that."</w:t>
            </w:r>
          </w:p>
        </w:tc>
        <w:tc>
          <w:tcPr>
            <w:tcW w:type="dxa" w:w="4680"/>
            <w:tcBorders>
              <w:top w:val="single" w:color="BFBFBF" w:sz="1"/>
              <w:left w:val="single" w:color="BFBFBF" w:sz="1"/>
              <w:bottom w:val="single" w:color="BFBFBF" w:sz="1"/>
              <w:right w:val="single" w:color="BFBFBF" w:sz="1"/>
            </w:tcBorders>
            <w:shd w:fill="FCE4E4"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18"/>
                <w:szCs w:val="18"/>
              </w:rPr>
              <w:t xml:space="preserve">"Fuutura is available to users in Pakistan."</w:t>
            </w:r>
          </w:p>
        </w:tc>
      </w:tr>
      <w:tr>
        <w:tc>
          <w:tcPr>
            <w:tcW w:type="dxa" w:w="4680"/>
            <w:tcBorders>
              <w:top w:val="single" w:color="BFBFBF" w:sz="1"/>
              <w:left w:val="single" w:color="BFBFBF" w:sz="1"/>
              <w:bottom w:val="single" w:color="BFBFBF" w:sz="1"/>
              <w:right w:val="single" w:color="BFBFBF" w:sz="1"/>
            </w:tcBorders>
            <w:shd w:fill="E2EFDA"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18"/>
                <w:szCs w:val="18"/>
              </w:rPr>
              <w:t xml:space="preserve">"We are building infrastructure for the Global South — the financial tools that have been available to wealthy countries for generations."</w:t>
            </w:r>
          </w:p>
        </w:tc>
        <w:tc>
          <w:tcPr>
            <w:tcW w:type="dxa" w:w="4680"/>
            <w:tcBorders>
              <w:top w:val="single" w:color="BFBFBF" w:sz="1"/>
              <w:left w:val="single" w:color="BFBFBF" w:sz="1"/>
              <w:bottom w:val="single" w:color="BFBFBF" w:sz="1"/>
              <w:right w:val="single" w:color="BFBFBF" w:sz="1"/>
            </w:tcBorders>
            <w:shd w:fill="FCE4E4"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18"/>
                <w:szCs w:val="18"/>
              </w:rPr>
              <w:t xml:space="preserve">"Fuutura is targeting Pakistani and UAE investors for $FTRA."</w:t>
            </w:r>
          </w:p>
        </w:tc>
      </w:tr>
      <w:tr>
        <w:tc>
          <w:tcPr>
            <w:tcW w:type="dxa" w:w="4680"/>
            <w:tcBorders>
              <w:top w:val="single" w:color="BFBFBF" w:sz="1"/>
              <w:left w:val="single" w:color="BFBFBF" w:sz="1"/>
              <w:bottom w:val="single" w:color="BFBFBF" w:sz="1"/>
              <w:right w:val="single" w:color="BFBFBF" w:sz="1"/>
            </w:tcBorders>
            <w:shd w:fill="E2EFDA"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18"/>
                <w:szCs w:val="18"/>
              </w:rPr>
              <w:t xml:space="preserve">"Our mission is financial inclusion for the 1.4 billion people without access to banking."</w:t>
            </w:r>
          </w:p>
        </w:tc>
        <w:tc>
          <w:tcPr>
            <w:tcW w:type="dxa" w:w="4680"/>
            <w:tcBorders>
              <w:top w:val="single" w:color="BFBFBF" w:sz="1"/>
              <w:left w:val="single" w:color="BFBFBF" w:sz="1"/>
              <w:bottom w:val="single" w:color="BFBFBF" w:sz="1"/>
              <w:right w:val="single" w:color="BFBFBF" w:sz="1"/>
            </w:tcBorders>
            <w:shd w:fill="FCE4E4"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18"/>
                <w:szCs w:val="18"/>
              </w:rPr>
              <w:t xml:space="preserve">"Sign up now if you're based in Pakistan, Nigeria, or Indonesia."</w:t>
            </w:r>
          </w:p>
        </w:tc>
      </w:tr>
      <w:tr>
        <w:tc>
          <w:tcPr>
            <w:tcW w:type="dxa" w:w="4680"/>
            <w:tcBorders>
              <w:top w:val="single" w:color="BFBFBF" w:sz="1"/>
              <w:left w:val="single" w:color="BFBFBF" w:sz="1"/>
              <w:bottom w:val="single" w:color="BFBFBF" w:sz="1"/>
              <w:right w:val="single" w:color="BFBFBF" w:sz="1"/>
            </w:tcBorders>
            <w:shd w:fill="E2EFDA"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18"/>
                <w:szCs w:val="18"/>
              </w:rPr>
              <w:t xml:space="preserve">"Fuutura is a regulated Bitcoin exchange in El Salvador — the same regulatory framework used by Binance."</w:t>
            </w:r>
          </w:p>
        </w:tc>
        <w:tc>
          <w:tcPr>
            <w:tcW w:type="dxa" w:w="4680"/>
            <w:tcBorders>
              <w:top w:val="single" w:color="BFBFBF" w:sz="1"/>
              <w:left w:val="single" w:color="BFBFBF" w:sz="1"/>
              <w:bottom w:val="single" w:color="BFBFBF" w:sz="1"/>
              <w:right w:val="single" w:color="BFBFBF" w:sz="1"/>
            </w:tcBorders>
            <w:shd w:fill="FCE4E4"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18"/>
                <w:szCs w:val="18"/>
              </w:rPr>
              <w:t xml:space="preserve">"Fuutura is fully licensed globally." (We are not — we hold one national licence.)</w:t>
            </w:r>
          </w:p>
        </w:tc>
      </w:tr>
    </w:tbl>
    <w:p>
      <w:pPr>
        <w:spacing w:before="80" w:after="80"/>
      </w:pPr>
      <w:r>
        <w:t xml:space="preserve"/>
      </w:r>
    </w:p>
    <w:p>
      <w:pPr>
        <w:pStyle w:val="Heading2"/>
        <w:spacing w:before="280" w:after="100"/>
      </w:pPr>
      <w:r>
        <w:rPr>
          <w:rFonts w:ascii="Arial" w:cs="Arial" w:eastAsia="Arial" w:hAnsi="Arial"/>
          <w:b/>
          <w:bCs/>
          <w:color w:val="1F4E79"/>
          <w:sz w:val="24"/>
          <w:szCs w:val="24"/>
        </w:rPr>
        <w:t xml:space="preserve">4.2  The Decentralised Exchange — What You Can Promote</w:t>
      </w:r>
    </w:p>
    <w:p>
      <w:pPr>
        <w:spacing w:before="60" w:after="90"/>
      </w:pPr>
      <w:r>
        <w:rPr>
          <w:rFonts w:ascii="Arial" w:cs="Arial" w:eastAsia="Arial" w:hAnsi="Arial"/>
          <w:color w:val="404040"/>
          <w:sz w:val="22"/>
          <w:szCs w:val="22"/>
        </w:rPr>
        <w:t xml:space="preserve">The decentralised exchange is a significant asset for us at Stage 1 because it is not subject to the same restrictions as the main exchange. Users anywhere in the world (subject to the platform blocking rules in Section 7) can connect a compatible wallet and trade $FTRA on it — without creating a Fuutura account.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BFBFBF" w:sz="1"/>
              <w:left w:val="single" w:color="BFBFBF" w:sz="1"/>
              <w:bottom w:val="single" w:color="BFBFBF" w:sz="1"/>
              <w:right w:val="single" w:color="BFBFBF" w:sz="1"/>
            </w:tcBorders>
            <w:shd w:fill="375623" w:val="clear"/>
            <w:tcMar>
              <w:top w:type="dxa" w:w="140"/>
              <w:left w:type="dxa" w:w="80"/>
              <w:bottom w:type="dxa" w:w="140"/>
              <w:right w:type="dxa" w:w="80"/>
            </w:tcMar>
            <w:vAlign w:val="center"/>
          </w:tcPr>
          <w:p>
            <w:pPr>
              <w:jc w:val="center"/>
            </w:pPr>
            <w:r>
              <w:rPr>
                <w:rFonts w:ascii="Arial" w:cs="Arial" w:eastAsia="Arial" w:hAnsi="Arial"/>
                <w:b/>
                <w:bCs/>
                <w:color w:val="FFFFFF"/>
                <w:sz w:val="32"/>
                <w:szCs w:val="32"/>
              </w:rPr>
              <w:t xml:space="preserve">✓</w:t>
            </w:r>
          </w:p>
        </w:tc>
        <w:tc>
          <w:tcPr>
            <w:tcW w:type="dxa" w:w="8720"/>
            <w:tcBorders>
              <w:top w:val="single" w:color="BFBFBF" w:sz="1"/>
              <w:left w:val="single" w:color="BFBFBF" w:sz="1"/>
              <w:bottom w:val="single" w:color="BFBFBF" w:sz="1"/>
              <w:right w:val="single" w:color="BFBFBF" w:sz="1"/>
            </w:tcBorders>
            <w:shd w:fill="E2EFDA" w:val="clear"/>
            <w:tcMar>
              <w:top w:type="dxa" w:w="140"/>
              <w:left w:type="dxa" w:w="200"/>
              <w:bottom w:type="dxa" w:w="140"/>
              <w:right w:type="dxa" w:w="200"/>
            </w:tcMar>
          </w:tcPr>
          <w:p>
            <w:r>
              <w:rPr>
                <w:rFonts w:ascii="Arial" w:cs="Arial" w:eastAsia="Arial" w:hAnsi="Arial"/>
                <w:b/>
                <w:bCs/>
                <w:color w:val="375623"/>
                <w:sz w:val="22"/>
                <w:szCs w:val="22"/>
              </w:rPr>
              <w:t xml:space="preserve">You can promote the decentralised exchange and $FTRA trading on it</w:t>
            </w:r>
          </w:p>
          <w:p>
            <w:pPr>
              <w:spacing w:before="60"/>
            </w:pPr>
            <w:r>
              <w:rPr>
                <w:rFonts w:ascii="Arial" w:cs="Arial" w:eastAsia="Arial" w:hAnsi="Arial"/>
                <w:color w:val="404040"/>
                <w:sz w:val="20"/>
                <w:szCs w:val="20"/>
              </w:rPr>
              <w:t xml:space="preserve">Content explaining what the decentralised exchange is, how to connect a wallet, how to trade $FTRA, and the liquidity available is permitted globally in English. You can publish this on social media, in press releases, and via crypto media outlets. The decentralised exchange is a software protocol — it is not our licensed financial service.</w:t>
            </w:r>
          </w:p>
        </w:tc>
      </w:tr>
    </w:tbl>
    <w:p>
      <w:pPr>
        <w:spacing w:before="80" w:after="80"/>
      </w:pPr>
      <w:r>
        <w:t xml:space="preserve"/>
      </w:r>
    </w:p>
    <w:p>
      <w:pPr>
        <w:spacing w:before="60" w:after="90"/>
      </w:pPr>
      <w:r>
        <w:rPr>
          <w:rFonts w:ascii="Arial" w:cs="Arial" w:eastAsia="Arial" w:hAnsi="Arial"/>
          <w:color w:val="404040"/>
          <w:sz w:val="22"/>
          <w:szCs w:val="22"/>
        </w:rPr>
        <w:t xml:space="preserve">Permitted content for the decentralised exchange includes:</w:t>
      </w:r>
    </w:p>
    <w:p>
      <w:pPr>
        <w:pStyle w:val="ListParagraph"/>
        <w:numPr>
          <w:ilvl w:val="0"/>
          <w:numId w:val="2"/>
        </w:numPr>
        <w:spacing w:before="50" w:after="50"/>
      </w:pPr>
      <w:r>
        <w:rPr>
          <w:rFonts w:ascii="Arial" w:cs="Arial" w:eastAsia="Arial" w:hAnsi="Arial"/>
          <w:b w:val="false"/>
          <w:bCs w:val="false"/>
          <w:color w:val="404040"/>
          <w:sz w:val="22"/>
          <w:szCs w:val="22"/>
        </w:rPr>
        <w:t xml:space="preserve">How to connect a digital wallet and swap $FTRA</w:t>
      </w:r>
    </w:p>
    <w:p>
      <w:pPr>
        <w:pStyle w:val="ListParagraph"/>
        <w:numPr>
          <w:ilvl w:val="0"/>
          <w:numId w:val="2"/>
        </w:numPr>
        <w:spacing w:before="50" w:after="50"/>
      </w:pPr>
      <w:r>
        <w:rPr>
          <w:rFonts w:ascii="Arial" w:cs="Arial" w:eastAsia="Arial" w:hAnsi="Arial"/>
          <w:b w:val="false"/>
          <w:bCs w:val="false"/>
          <w:color w:val="404040"/>
          <w:sz w:val="22"/>
          <w:szCs w:val="22"/>
        </w:rPr>
        <w:t xml:space="preserve">$FTRA price, trading volume, and liquidity data</w:t>
      </w:r>
    </w:p>
    <w:p>
      <w:pPr>
        <w:pStyle w:val="ListParagraph"/>
        <w:numPr>
          <w:ilvl w:val="0"/>
          <w:numId w:val="2"/>
        </w:numPr>
        <w:spacing w:before="50" w:after="50"/>
      </w:pPr>
      <w:r>
        <w:rPr>
          <w:rFonts w:ascii="Arial" w:cs="Arial" w:eastAsia="Arial" w:hAnsi="Arial"/>
          <w:b w:val="false"/>
          <w:bCs w:val="false"/>
          <w:color w:val="404040"/>
          <w:sz w:val="22"/>
          <w:szCs w:val="22"/>
        </w:rPr>
        <w:t xml:space="preserve">The total number of tokens available and the token distribution structure</w:t>
      </w:r>
    </w:p>
    <w:p>
      <w:pPr>
        <w:pStyle w:val="ListParagraph"/>
        <w:numPr>
          <w:ilvl w:val="0"/>
          <w:numId w:val="2"/>
        </w:numPr>
        <w:spacing w:before="50" w:after="50"/>
      </w:pPr>
      <w:r>
        <w:rPr>
          <w:rFonts w:ascii="Arial" w:cs="Arial" w:eastAsia="Arial" w:hAnsi="Arial"/>
          <w:b w:val="false"/>
          <w:bCs w:val="false"/>
          <w:color w:val="404040"/>
          <w:sz w:val="22"/>
          <w:szCs w:val="22"/>
        </w:rPr>
        <w:t xml:space="preserve">How $FTRA works as a utility token within the Fuutura ecosystem</w:t>
      </w:r>
    </w:p>
    <w:p>
      <w:pPr>
        <w:pStyle w:val="ListParagraph"/>
        <w:numPr>
          <w:ilvl w:val="0"/>
          <w:numId w:val="2"/>
        </w:numPr>
        <w:spacing w:before="50" w:after="50"/>
      </w:pPr>
      <w:r>
        <w:rPr>
          <w:rFonts w:ascii="Arial" w:cs="Arial" w:eastAsia="Arial" w:hAnsi="Arial"/>
          <w:b w:val="false"/>
          <w:bCs w:val="false"/>
          <w:color w:val="404040"/>
          <w:sz w:val="22"/>
          <w:szCs w:val="22"/>
        </w:rPr>
        <w:t xml:space="preserve">Technical guides and explainer content about decentralised exchanges generally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BFBFBF" w:sz="1"/>
              <w:left w:val="single" w:color="BFBFBF" w:sz="1"/>
              <w:bottom w:val="single" w:color="BFBFBF" w:sz="1"/>
              <w:right w:val="single" w:color="BFBFBF" w:sz="1"/>
            </w:tcBorders>
            <w:shd w:fill="B06000" w:val="clear"/>
            <w:tcMar>
              <w:top w:type="dxa" w:w="140"/>
              <w:left w:type="dxa" w:w="80"/>
              <w:bottom w:type="dxa" w:w="140"/>
              <w:right w:type="dxa" w:w="80"/>
            </w:tcMar>
            <w:vAlign w:val="center"/>
          </w:tcPr>
          <w:p>
            <w:pPr>
              <w:jc w:val="center"/>
            </w:pPr>
            <w:r>
              <w:rPr>
                <w:rFonts w:ascii="Arial" w:cs="Arial" w:eastAsia="Arial" w:hAnsi="Arial"/>
                <w:b/>
                <w:bCs/>
                <w:color w:val="FFFFFF"/>
                <w:sz w:val="32"/>
                <w:szCs w:val="32"/>
              </w:rPr>
              <w:t xml:space="preserve">!</w:t>
            </w:r>
          </w:p>
        </w:tc>
        <w:tc>
          <w:tcPr>
            <w:tcW w:type="dxa" w:w="8720"/>
            <w:tcBorders>
              <w:top w:val="single" w:color="BFBFBF" w:sz="1"/>
              <w:left w:val="single" w:color="BFBFBF" w:sz="1"/>
              <w:bottom w:val="single" w:color="BFBFBF" w:sz="1"/>
              <w:right w:val="single" w:color="BFBFBF" w:sz="1"/>
            </w:tcBorders>
            <w:shd w:fill="FFF2CC" w:val="clear"/>
            <w:tcMar>
              <w:top w:type="dxa" w:w="140"/>
              <w:left w:type="dxa" w:w="200"/>
              <w:bottom w:type="dxa" w:w="140"/>
              <w:right w:type="dxa" w:w="200"/>
            </w:tcMar>
          </w:tcPr>
          <w:p>
            <w:r>
              <w:rPr>
                <w:rFonts w:ascii="Arial" w:cs="Arial" w:eastAsia="Arial" w:hAnsi="Arial"/>
                <w:b/>
                <w:bCs/>
                <w:color w:val="B06000"/>
                <w:sz w:val="22"/>
                <w:szCs w:val="22"/>
              </w:rPr>
              <w:t xml:space="preserve">Do not describe the decentralised exchange as 'part of Fuutura Exchange' or 'Fuutura's trading platform'</w:t>
            </w:r>
          </w:p>
          <w:p>
            <w:pPr>
              <w:spacing w:before="60"/>
            </w:pPr>
            <w:r>
              <w:rPr>
                <w:rFonts w:ascii="Arial" w:cs="Arial" w:eastAsia="Arial" w:hAnsi="Arial"/>
                <w:color w:val="404040"/>
                <w:sz w:val="20"/>
                <w:szCs w:val="20"/>
              </w:rPr>
              <w:t xml:space="preserve">The decentralised exchange and the main centralised exchange are legally separate. The decentralised exchange is a protocol published by our Panama company. The main exchange is a regulated service run by our El Salvador company. Blurring the line between them in marketing copy creates confusion about what is and is not covered by our licence.</w:t>
            </w:r>
          </w:p>
        </w:tc>
      </w:tr>
    </w:tbl>
    <w:p>
      <w:pPr>
        <w:spacing w:before="80" w:after="80"/>
      </w:pPr>
      <w:r>
        <w:t xml:space="preserve"/>
      </w:r>
    </w:p>
    <w:p>
      <w:pPr>
        <w:pStyle w:val="Heading2"/>
        <w:spacing w:before="280" w:after="100"/>
      </w:pPr>
      <w:r>
        <w:rPr>
          <w:rFonts w:ascii="Arial" w:cs="Arial" w:eastAsia="Arial" w:hAnsi="Arial"/>
          <w:b/>
          <w:bCs/>
          <w:color w:val="1F4E79"/>
          <w:sz w:val="24"/>
          <w:szCs w:val="24"/>
        </w:rPr>
        <w:t xml:space="preserve">4.3  The Bitcoin Licence — What You Can Say About It</w:t>
      </w:r>
    </w:p>
    <w:p>
      <w:pPr>
        <w:spacing w:before="60" w:after="90"/>
      </w:pPr>
      <w:r>
        <w:rPr>
          <w:rFonts w:ascii="Arial" w:cs="Arial" w:eastAsia="Arial" w:hAnsi="Arial"/>
          <w:color w:val="404040"/>
          <w:sz w:val="22"/>
          <w:szCs w:val="22"/>
        </w:rPr>
        <w:t xml:space="preserve">Our Bitcoin exchange licence from the Central Reserve Bank of El Salvador is a genuine and powerful credential. Here is how to use it correctly.</w:t>
      </w:r>
    </w:p>
    <w:p>
      <w:pPr>
        <w:spacing w:before="80" w:after="80"/>
      </w:pPr>
      <w:r>
        <w:t xml:space="preserve"/>
      </w:r>
    </w:p>
    <w:p>
      <w:pPr>
        <w:pStyle w:val="ListParagraph"/>
        <w:numPr>
          <w:ilvl w:val="0"/>
          <w:numId w:val="2"/>
        </w:numPr>
        <w:spacing w:before="50" w:after="50"/>
      </w:pPr>
      <w:r>
        <w:rPr>
          <w:rFonts w:ascii="Arial" w:cs="Arial" w:eastAsia="Arial" w:hAnsi="Arial"/>
          <w:b w:val="false"/>
          <w:bCs w:val="false"/>
          <w:color w:val="404040"/>
          <w:sz w:val="22"/>
          <w:szCs w:val="22"/>
        </w:rPr>
        <w:t xml:space="preserve">'Fuutura holds a Bitcoin Service Provider licence from the Central Reserve Bank of El Salvador' — </w:t>
      </w:r>
      <w:r>
        <w:rPr>
          <w:rFonts w:ascii="Arial" w:cs="Arial" w:eastAsia="Arial" w:hAnsi="Arial"/>
          <w:b/>
          <w:bCs/>
          <w:color w:val="404040"/>
          <w:sz w:val="22"/>
          <w:szCs w:val="22"/>
        </w:rPr>
        <w:t xml:space="preserve">correct</w:t>
      </w:r>
      <w:r>
        <w:rPr>
          <w:rFonts w:ascii="Arial" w:cs="Arial" w:eastAsia="Arial" w:hAnsi="Arial"/>
          <w:b w:val="false"/>
          <w:bCs w:val="false"/>
          <w:color w:val="404040"/>
          <w:sz w:val="22"/>
          <w:szCs w:val="22"/>
        </w:rPr>
        <w:t xml:space="preserve">, use this</w:t>
      </w:r>
    </w:p>
    <w:p>
      <w:pPr>
        <w:pStyle w:val="ListParagraph"/>
        <w:numPr>
          <w:ilvl w:val="0"/>
          <w:numId w:val="2"/>
        </w:numPr>
        <w:spacing w:before="50" w:after="50"/>
      </w:pPr>
      <w:r>
        <w:rPr>
          <w:rFonts w:ascii="Arial" w:cs="Arial" w:eastAsia="Arial" w:hAnsi="Arial"/>
          <w:b w:val="false"/>
          <w:bCs w:val="false"/>
          <w:color w:val="404040"/>
          <w:sz w:val="22"/>
          <w:szCs w:val="22"/>
        </w:rPr>
        <w:t xml:space="preserve">'Fuutura is regulated under the same framework as Binance in El Salvador' — </w:t>
      </w:r>
      <w:r>
        <w:rPr>
          <w:rFonts w:ascii="Arial" w:cs="Arial" w:eastAsia="Arial" w:hAnsi="Arial"/>
          <w:b/>
          <w:bCs/>
          <w:color w:val="404040"/>
          <w:sz w:val="22"/>
          <w:szCs w:val="22"/>
        </w:rPr>
        <w:t xml:space="preserve">correct</w:t>
      </w:r>
      <w:r>
        <w:rPr>
          <w:rFonts w:ascii="Arial" w:cs="Arial" w:eastAsia="Arial" w:hAnsi="Arial"/>
          <w:b w:val="false"/>
          <w:bCs w:val="false"/>
          <w:color w:val="404040"/>
          <w:sz w:val="22"/>
          <w:szCs w:val="22"/>
        </w:rPr>
        <w:t xml:space="preserve">, use this</w:t>
      </w:r>
    </w:p>
    <w:p>
      <w:pPr>
        <w:pStyle w:val="ListParagraph"/>
        <w:numPr>
          <w:ilvl w:val="0"/>
          <w:numId w:val="2"/>
        </w:numPr>
        <w:spacing w:before="50" w:after="50"/>
      </w:pPr>
      <w:r>
        <w:rPr>
          <w:rFonts w:ascii="Arial" w:cs="Arial" w:eastAsia="Arial" w:hAnsi="Arial"/>
          <w:b w:val="false"/>
          <w:bCs w:val="false"/>
          <w:color w:val="404040"/>
          <w:sz w:val="22"/>
          <w:szCs w:val="22"/>
        </w:rPr>
        <w:t xml:space="preserve">'Fuutura's Bitcoin exchange is licensed and supervised by El Salvador's banking regulator' — </w:t>
      </w:r>
      <w:r>
        <w:rPr>
          <w:rFonts w:ascii="Arial" w:cs="Arial" w:eastAsia="Arial" w:hAnsi="Arial"/>
          <w:b/>
          <w:bCs/>
          <w:color w:val="404040"/>
          <w:sz w:val="22"/>
          <w:szCs w:val="22"/>
        </w:rPr>
        <w:t xml:space="preserve">correct</w:t>
      </w:r>
      <w:r>
        <w:rPr>
          <w:rFonts w:ascii="Arial" w:cs="Arial" w:eastAsia="Arial" w:hAnsi="Arial"/>
          <w:b w:val="false"/>
          <w:bCs w:val="false"/>
          <w:color w:val="404040"/>
          <w:sz w:val="22"/>
          <w:szCs w:val="22"/>
        </w:rPr>
        <w:t xml:space="preserve">, use this</w:t>
      </w:r>
    </w:p>
    <w:p>
      <w:pPr>
        <w:pStyle w:val="ListParagraph"/>
        <w:numPr>
          <w:ilvl w:val="0"/>
          <w:numId w:val="2"/>
        </w:numPr>
        <w:spacing w:before="50" w:after="50"/>
      </w:pPr>
      <w:r>
        <w:rPr>
          <w:rFonts w:ascii="Arial" w:cs="Arial" w:eastAsia="Arial" w:hAnsi="Arial"/>
          <w:b w:val="false"/>
          <w:bCs w:val="false"/>
          <w:color w:val="404040"/>
          <w:sz w:val="22"/>
          <w:szCs w:val="22"/>
        </w:rPr>
        <w:t xml:space="preserve">'Fuutura is a fully licensed digital asset exchange' — </w:t>
      </w:r>
      <w:r>
        <w:rPr>
          <w:rFonts w:ascii="Arial" w:cs="Arial" w:eastAsia="Arial" w:hAnsi="Arial"/>
          <w:b/>
          <w:bCs/>
          <w:color w:val="404040"/>
          <w:sz w:val="22"/>
          <w:szCs w:val="22"/>
        </w:rPr>
        <w:t xml:space="preserve">incorrect</w:t>
      </w:r>
      <w:r>
        <w:rPr>
          <w:rFonts w:ascii="Arial" w:cs="Arial" w:eastAsia="Arial" w:hAnsi="Arial"/>
          <w:b w:val="false"/>
          <w:bCs w:val="false"/>
          <w:color w:val="404040"/>
          <w:sz w:val="22"/>
          <w:szCs w:val="22"/>
        </w:rPr>
        <w:t xml:space="preserve"> at Stage 1, we hold a Bitcoin-specific licence, not a full digital asset licence</w:t>
      </w:r>
    </w:p>
    <w:p>
      <w:pPr>
        <w:pStyle w:val="ListParagraph"/>
        <w:numPr>
          <w:ilvl w:val="0"/>
          <w:numId w:val="2"/>
        </w:numPr>
        <w:spacing w:before="50" w:after="50"/>
      </w:pPr>
      <w:r>
        <w:rPr>
          <w:rFonts w:ascii="Arial" w:cs="Arial" w:eastAsia="Arial" w:hAnsi="Arial"/>
          <w:b w:val="false"/>
          <w:bCs w:val="false"/>
          <w:color w:val="404040"/>
          <w:sz w:val="22"/>
          <w:szCs w:val="22"/>
        </w:rPr>
        <w:t xml:space="preserve">'Fuutura is licensed to operate globally' — </w:t>
      </w:r>
      <w:r>
        <w:rPr>
          <w:rFonts w:ascii="Arial" w:cs="Arial" w:eastAsia="Arial" w:hAnsi="Arial"/>
          <w:b/>
          <w:bCs/>
          <w:color w:val="404040"/>
          <w:sz w:val="22"/>
          <w:szCs w:val="22"/>
        </w:rPr>
        <w:t xml:space="preserve">incorrect</w:t>
      </w:r>
      <w:r>
        <w:rPr>
          <w:rFonts w:ascii="Arial" w:cs="Arial" w:eastAsia="Arial" w:hAnsi="Arial"/>
          <w:b w:val="false"/>
          <w:bCs w:val="false"/>
          <w:color w:val="404040"/>
          <w:sz w:val="22"/>
          <w:szCs w:val="22"/>
        </w:rPr>
        <w:t xml:space="preserve"> at Stage 1 or Stage 2. El Salvador licences cover operations in El Salvador only</w:t>
      </w:r>
    </w:p>
    <w:p>
      <w:pPr>
        <w:spacing w:before="80" w:after="80"/>
      </w:pPr>
      <w:r>
        <w:t xml:space="preserve"/>
      </w:r>
    </w:p>
    <w:p>
      <w:pPr>
        <w:pStyle w:val="Heading2"/>
        <w:spacing w:before="280" w:after="100"/>
      </w:pPr>
      <w:r>
        <w:rPr>
          <w:rFonts w:ascii="Arial" w:cs="Arial" w:eastAsia="Arial" w:hAnsi="Arial"/>
          <w:b/>
          <w:bCs/>
          <w:color w:val="1F4E79"/>
          <w:sz w:val="24"/>
          <w:szCs w:val="24"/>
        </w:rPr>
        <w:t xml:space="preserve">4.4  Press Releases at Stage 1</w:t>
      </w:r>
    </w:p>
    <w:p>
      <w:pPr>
        <w:spacing w:before="60" w:after="90"/>
      </w:pPr>
      <w:r>
        <w:rPr>
          <w:rFonts w:ascii="Arial" w:cs="Arial" w:eastAsia="Arial" w:hAnsi="Arial"/>
          <w:color w:val="404040"/>
          <w:sz w:val="22"/>
          <w:szCs w:val="22"/>
        </w:rPr>
        <w:t xml:space="preserve">The following types of press release are fully permitted at Stage 1. All must be issued in English by our Panama company (not our El Salvador company).</w:t>
      </w:r>
    </w:p>
    <w:p>
      <w:pPr>
        <w:pStyle w:val="ListParagraph"/>
        <w:numPr>
          <w:ilvl w:val="0"/>
          <w:numId w:val="2"/>
        </w:numPr>
        <w:spacing w:before="50" w:after="50"/>
      </w:pPr>
      <w:r>
        <w:rPr>
          <w:rFonts w:ascii="Arial" w:cs="Arial" w:eastAsia="Arial" w:hAnsi="Arial"/>
          <w:b w:val="false"/>
          <w:bCs w:val="false"/>
          <w:color w:val="404040"/>
          <w:sz w:val="22"/>
          <w:szCs w:val="22"/>
        </w:rPr>
        <w:t xml:space="preserve">Announcement of the Bitcoin exchange licence from the Central Reserve Bank</w:t>
      </w:r>
    </w:p>
    <w:p>
      <w:pPr>
        <w:pStyle w:val="ListParagraph"/>
        <w:numPr>
          <w:ilvl w:val="0"/>
          <w:numId w:val="2"/>
        </w:numPr>
        <w:spacing w:before="50" w:after="50"/>
      </w:pPr>
      <w:r>
        <w:rPr>
          <w:rFonts w:ascii="Arial" w:cs="Arial" w:eastAsia="Arial" w:hAnsi="Arial"/>
          <w:b w:val="false"/>
          <w:bCs w:val="false"/>
          <w:color w:val="404040"/>
          <w:sz w:val="22"/>
          <w:szCs w:val="22"/>
        </w:rPr>
        <w:t xml:space="preserve">Launch of the decentralised exchange and $FTRA trading going live</w:t>
      </w:r>
    </w:p>
    <w:p>
      <w:pPr>
        <w:pStyle w:val="ListParagraph"/>
        <w:numPr>
          <w:ilvl w:val="0"/>
          <w:numId w:val="2"/>
        </w:numPr>
        <w:spacing w:before="50" w:after="50"/>
      </w:pPr>
      <w:r>
        <w:rPr>
          <w:rFonts w:ascii="Arial" w:cs="Arial" w:eastAsia="Arial" w:hAnsi="Arial"/>
          <w:b w:val="false"/>
          <w:bCs w:val="false"/>
          <w:color w:val="404040"/>
          <w:sz w:val="22"/>
          <w:szCs w:val="22"/>
        </w:rPr>
        <w:t xml:space="preserve">$FTRA token listing on data tracking sites (CoinMarketCap, CoinGecko)</w:t>
      </w:r>
    </w:p>
    <w:p>
      <w:pPr>
        <w:pStyle w:val="ListParagraph"/>
        <w:numPr>
          <w:ilvl w:val="0"/>
          <w:numId w:val="2"/>
        </w:numPr>
        <w:spacing w:before="50" w:after="50"/>
      </w:pPr>
      <w:r>
        <w:rPr>
          <w:rFonts w:ascii="Arial" w:cs="Arial" w:eastAsia="Arial" w:hAnsi="Arial"/>
          <w:b w:val="false"/>
          <w:bCs w:val="false"/>
          <w:color w:val="404040"/>
          <w:sz w:val="22"/>
          <w:szCs w:val="22"/>
        </w:rPr>
        <w:t xml:space="preserve">Fuutura's founding story, mission, and Global South narrative</w:t>
      </w:r>
    </w:p>
    <w:p>
      <w:pPr>
        <w:pStyle w:val="ListParagraph"/>
        <w:numPr>
          <w:ilvl w:val="0"/>
          <w:numId w:val="2"/>
        </w:numPr>
        <w:spacing w:before="50" w:after="50"/>
      </w:pPr>
      <w:r>
        <w:rPr>
          <w:rFonts w:ascii="Arial" w:cs="Arial" w:eastAsia="Arial" w:hAnsi="Arial"/>
          <w:b w:val="false"/>
          <w:bCs w:val="false"/>
          <w:color w:val="404040"/>
          <w:sz w:val="22"/>
          <w:szCs w:val="22"/>
        </w:rPr>
        <w:t xml:space="preserve">Team announcements, advisory board appointments, and partnership news (where the partner is not itself creating a regulated service)</w:t>
      </w:r>
    </w:p>
    <w:p>
      <w:pPr>
        <w:pStyle w:val="ListParagraph"/>
        <w:numPr>
          <w:ilvl w:val="0"/>
          <w:numId w:val="2"/>
        </w:numPr>
        <w:spacing w:before="50" w:after="50"/>
      </w:pPr>
      <w:r>
        <w:rPr>
          <w:rFonts w:ascii="Arial" w:cs="Arial" w:eastAsia="Arial" w:hAnsi="Arial"/>
          <w:b w:val="false"/>
          <w:bCs w:val="false"/>
          <w:color w:val="404040"/>
          <w:sz w:val="22"/>
          <w:szCs w:val="22"/>
        </w:rPr>
        <w:t xml:space="preserve">Decentralised exchange liquidity milestones and volume data</w:t>
      </w:r>
    </w:p>
    <w:p>
      <w:pPr>
        <w:pStyle w:val="ListParagraph"/>
        <w:numPr>
          <w:ilvl w:val="0"/>
          <w:numId w:val="2"/>
        </w:numPr>
        <w:spacing w:before="50" w:after="50"/>
      </w:pPr>
      <w:r>
        <w:rPr>
          <w:rFonts w:ascii="Arial" w:cs="Arial" w:eastAsia="Arial" w:hAnsi="Arial"/>
          <w:b w:val="false"/>
          <w:bCs w:val="false"/>
          <w:color w:val="404040"/>
          <w:sz w:val="22"/>
          <w:szCs w:val="22"/>
        </w:rPr>
        <w:t xml:space="preserve">Progress updates on the full digital asset licence application (e.g. 'Fuutura has submitted its application to El Salvador's National Commission of Digital Assets')</w:t>
      </w:r>
    </w:p>
    <w:p>
      <w:pPr>
        <w:pStyle w:val="ListParagraph"/>
        <w:numPr>
          <w:ilvl w:val="0"/>
          <w:numId w:val="2"/>
        </w:numPr>
        <w:spacing w:before="50" w:after="50"/>
      </w:pPr>
      <w:r>
        <w:rPr>
          <w:rFonts w:ascii="Arial" w:cs="Arial" w:eastAsia="Arial" w:hAnsi="Arial"/>
          <w:b w:val="false"/>
          <w:bCs w:val="false"/>
          <w:color w:val="404040"/>
          <w:sz w:val="22"/>
          <w:szCs w:val="22"/>
        </w:rPr>
        <w:t xml:space="preserve">$FTRA tokenomics and utility documentation</w:t>
      </w:r>
    </w:p>
    <w:p>
      <w:pPr>
        <w:spacing w:before="80" w:after="80"/>
      </w:pPr>
      <w:r>
        <w:t xml:space="preserve"/>
      </w:r>
    </w:p>
    <w:p>
      <w:pPr>
        <w:pStyle w:val="Heading2"/>
        <w:spacing w:before="280" w:after="100"/>
      </w:pPr>
      <w:r>
        <w:rPr>
          <w:rFonts w:ascii="Arial" w:cs="Arial" w:eastAsia="Arial" w:hAnsi="Arial"/>
          <w:b/>
          <w:bCs/>
          <w:color w:val="1F4E79"/>
          <w:sz w:val="24"/>
          <w:szCs w:val="24"/>
        </w:rPr>
        <w:t xml:space="preserve">4.5  Social Media at Stage 1</w:t>
      </w:r>
    </w:p>
    <w:p>
      <w:pPr>
        <w:spacing w:before="60" w:after="90"/>
      </w:pPr>
      <w:r>
        <w:rPr>
          <w:rFonts w:ascii="Arial" w:cs="Arial" w:eastAsia="Arial" w:hAnsi="Arial"/>
          <w:color w:val="404040"/>
          <w:sz w:val="22"/>
          <w:szCs w:val="22"/>
        </w:rPr>
        <w:t xml:space="preserve">Fuutura's global social media accounts (X/Twitter, LinkedIn) may post content about all of the above topics. Organic social — meaning posts that are not paid adverts — is treated differently from paid advertising. You do not choose who sees an organic post. It reaches whoever follows or discovers the account. This is permitted.</w:t>
      </w:r>
    </w:p>
    <w:p>
      <w:pPr>
        <w:spacing w:before="80" w:after="80"/>
      </w:pPr>
      <w:r>
        <w:t xml:space="preserve"/>
      </w:r>
    </w:p>
    <w:p>
      <w:pPr>
        <w:spacing w:before="60" w:after="90"/>
      </w:pPr>
      <w:r>
        <w:rPr>
          <w:rFonts w:ascii="Arial" w:cs="Arial" w:eastAsia="Arial" w:hAnsi="Arial"/>
          <w:color w:val="404040"/>
          <w:sz w:val="22"/>
          <w:szCs w:val="22"/>
        </w:rPr>
        <w:t xml:space="preserve">What is not permitted on social media at Stage 1:</w:t>
      </w:r>
    </w:p>
    <w:p>
      <w:pPr>
        <w:pStyle w:val="ListParagraph"/>
        <w:numPr>
          <w:ilvl w:val="0"/>
          <w:numId w:val="2"/>
        </w:numPr>
        <w:spacing w:before="50" w:after="50"/>
      </w:pPr>
      <w:r>
        <w:rPr>
          <w:rFonts w:ascii="Arial" w:cs="Arial" w:eastAsia="Arial" w:hAnsi="Arial"/>
          <w:b w:val="false"/>
          <w:bCs w:val="false"/>
          <w:color w:val="404040"/>
          <w:sz w:val="22"/>
          <w:szCs w:val="22"/>
        </w:rPr>
        <w:t xml:space="preserve">Paid promoted posts with geographic targeting settings</w:t>
      </w:r>
    </w:p>
    <w:p>
      <w:pPr>
        <w:pStyle w:val="ListParagraph"/>
        <w:numPr>
          <w:ilvl w:val="0"/>
          <w:numId w:val="2"/>
        </w:numPr>
        <w:spacing w:before="50" w:after="50"/>
      </w:pPr>
      <w:r>
        <w:rPr>
          <w:rFonts w:ascii="Arial" w:cs="Arial" w:eastAsia="Arial" w:hAnsi="Arial"/>
          <w:b w:val="false"/>
          <w:bCs w:val="false"/>
          <w:color w:val="404040"/>
          <w:sz w:val="22"/>
          <w:szCs w:val="22"/>
        </w:rPr>
        <w:t xml:space="preserve">Posts in any language other than English</w:t>
      </w:r>
    </w:p>
    <w:p>
      <w:pPr>
        <w:pStyle w:val="ListParagraph"/>
        <w:numPr>
          <w:ilvl w:val="0"/>
          <w:numId w:val="2"/>
        </w:numPr>
        <w:spacing w:before="50" w:after="50"/>
      </w:pPr>
      <w:r>
        <w:rPr>
          <w:rFonts w:ascii="Arial" w:cs="Arial" w:eastAsia="Arial" w:hAnsi="Arial"/>
          <w:b w:val="false"/>
          <w:bCs w:val="false"/>
          <w:color w:val="404040"/>
          <w:sz w:val="22"/>
          <w:szCs w:val="22"/>
        </w:rPr>
        <w:t xml:space="preserve">Posts that say users in a specific unlicensed country can use Fuutura</w:t>
      </w:r>
    </w:p>
    <w:p>
      <w:pPr>
        <w:pStyle w:val="ListParagraph"/>
        <w:numPr>
          <w:ilvl w:val="0"/>
          <w:numId w:val="2"/>
        </w:numPr>
        <w:spacing w:before="50" w:after="50"/>
      </w:pPr>
      <w:r>
        <w:rPr>
          <w:rFonts w:ascii="Arial" w:cs="Arial" w:eastAsia="Arial" w:hAnsi="Arial"/>
          <w:b w:val="false"/>
          <w:bCs w:val="false"/>
          <w:color w:val="404040"/>
          <w:sz w:val="22"/>
          <w:szCs w:val="22"/>
        </w:rPr>
        <w:t xml:space="preserve">Community groups or channels in languages other than English (e.g. an Urdu-language Telegram group)</w:t>
      </w:r>
    </w:p>
    <w:p>
      <w:pPr>
        <w:pBdr>
          <w:bottom w:val="single" w:color="DDDDDD" w:sz="4" w:space="1"/>
        </w:pBdr>
        <w:spacing w:before="18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FBFBF" w:sz="1"/>
              <w:left w:val="single" w:color="BFBFBF" w:sz="1"/>
              <w:bottom w:val="single" w:color="BFBFBF" w:sz="1"/>
              <w:right w:val="single" w:color="BFBFBF" w:sz="1"/>
            </w:tcBorders>
            <w:shd w:fill="1D6B5E" w:val="clear"/>
            <w:tcMar>
              <w:top w:type="dxa" w:w="180"/>
              <w:left w:type="dxa" w:w="100"/>
              <w:bottom w:type="dxa" w:w="180"/>
              <w:right w:type="dxa" w:w="100"/>
            </w:tcMar>
            <w:vAlign w:val="center"/>
          </w:tcPr>
          <w:p>
            <w:pPr>
              <w:jc w:val="center"/>
            </w:pPr>
            <w:r>
              <w:rPr>
                <w:rFonts w:ascii="Arial" w:cs="Arial" w:eastAsia="Arial" w:hAnsi="Arial"/>
                <w:b/>
                <w:bCs/>
                <w:color w:val="FFFFFF"/>
                <w:sz w:val="16"/>
                <w:szCs w:val="16"/>
              </w:rPr>
              <w:t xml:space="preserve">STAGE</w:t>
            </w:r>
          </w:p>
          <w:p>
            <w:pPr>
              <w:jc w:val="center"/>
            </w:pPr>
            <w:r>
              <w:rPr>
                <w:rFonts w:ascii="Arial" w:cs="Arial" w:eastAsia="Arial" w:hAnsi="Arial"/>
                <w:b/>
                <w:bCs/>
                <w:color w:val="FFFFFF"/>
                <w:sz w:val="52"/>
                <w:szCs w:val="52"/>
              </w:rPr>
              <w:t xml:space="preserve">2</w:t>
            </w:r>
          </w:p>
        </w:tc>
        <w:tc>
          <w:tcPr>
            <w:tcW w:type="dxa" w:w="8160"/>
            <w:tcBorders>
              <w:top w:val="single" w:color="BFBFBF" w:sz="1"/>
              <w:left w:val="single" w:color="BFBFBF" w:sz="1"/>
              <w:bottom w:val="single" w:color="BFBFBF" w:sz="1"/>
              <w:right w:val="single" w:color="BFBFBF" w:sz="1"/>
            </w:tcBorders>
            <w:shd w:fill="E2EFDA" w:val="clear"/>
            <w:tcMar>
              <w:top w:type="dxa" w:w="160"/>
              <w:left w:type="dxa" w:w="220"/>
              <w:bottom w:type="dxa" w:w="160"/>
              <w:right w:type="dxa" w:w="220"/>
            </w:tcMar>
            <w:vAlign w:val="center"/>
          </w:tcPr>
          <w:p>
            <w:r>
              <w:rPr>
                <w:rFonts w:ascii="Arial" w:cs="Arial" w:eastAsia="Arial" w:hAnsi="Arial"/>
                <w:b/>
                <w:bCs/>
                <w:color w:val="1D6B5E"/>
                <w:sz w:val="28"/>
                <w:szCs w:val="28"/>
              </w:rPr>
              <w:t xml:space="preserve">Stage 2 — What Changes When We Get the Full Licence</w:t>
            </w:r>
          </w:p>
          <w:p>
            <w:pPr>
              <w:spacing w:before="60"/>
            </w:pPr>
            <w:r>
              <w:rPr>
                <w:rFonts w:ascii="Arial" w:cs="Arial" w:eastAsia="Arial" w:hAnsi="Arial"/>
                <w:i/>
                <w:iCs/>
                <w:color w:val="404040"/>
                <w:sz w:val="20"/>
                <w:szCs w:val="20"/>
              </w:rPr>
              <w:t xml:space="preserve">Full digital asset service provider licence received from El Salvador's National Commission of Digital Assets. Expected approximately 5–6 months from now.</w:t>
            </w:r>
          </w:p>
        </w:tc>
      </w:tr>
    </w:tbl>
    <w:p>
      <w:pPr>
        <w:spacing w:before="80" w:after="80"/>
      </w:pPr>
      <w:r>
        <w:t xml:space="preserve"/>
      </w:r>
    </w:p>
    <w:p>
      <w:pPr>
        <w:pStyle w:val="Heading2"/>
        <w:spacing w:before="280" w:after="100"/>
      </w:pPr>
      <w:r>
        <w:rPr>
          <w:rFonts w:ascii="Arial" w:cs="Arial" w:eastAsia="Arial" w:hAnsi="Arial"/>
          <w:b/>
          <w:bCs/>
          <w:color w:val="1D6B5E"/>
          <w:sz w:val="24"/>
          <w:szCs w:val="24"/>
        </w:rPr>
        <w:t xml:space="preserve">5.1  What the Full Digital Asset Licence Adds</w:t>
      </w:r>
    </w:p>
    <w:p>
      <w:pPr>
        <w:spacing w:before="60" w:after="90"/>
      </w:pPr>
      <w:r>
        <w:rPr>
          <w:rFonts w:ascii="Arial" w:cs="Arial" w:eastAsia="Arial" w:hAnsi="Arial"/>
          <w:color w:val="404040"/>
          <w:sz w:val="22"/>
          <w:szCs w:val="22"/>
        </w:rPr>
        <w:t xml:space="preserve">When Fuutura receives its full digital asset service provider licence from El Salvador's National Commission of Digital Assets, our main exchange is permitted to operate across the full range of digital asset services. This is the same class of licence that Binance El Salvador holds — and it is a strong, internationally-recognised credential.</w:t>
      </w:r>
    </w:p>
    <w:p>
      <w:pPr>
        <w:spacing w:before="80" w:after="80"/>
      </w:pPr>
      <w:r>
        <w:t xml:space="preserve"/>
      </w:r>
    </w:p>
    <w:p>
      <w:pPr>
        <w:spacing w:before="60" w:after="90"/>
      </w:pPr>
      <w:r>
        <w:rPr>
          <w:rFonts w:ascii="Arial" w:cs="Arial" w:eastAsia="Arial" w:hAnsi="Arial"/>
          <w:color w:val="404040"/>
          <w:sz w:val="22"/>
          <w:szCs w:val="22"/>
        </w:rPr>
        <w:t xml:space="preserve">The following become permitted on the main exchange and can be publicly marketed at Stage 2:</w:t>
      </w:r>
    </w:p>
    <w:p>
      <w:pPr>
        <w:pStyle w:val="ListParagraph"/>
        <w:numPr>
          <w:ilvl w:val="0"/>
          <w:numId w:val="2"/>
        </w:numPr>
        <w:spacing w:before="50" w:after="50"/>
      </w:pPr>
      <w:r>
        <w:rPr>
          <w:rFonts w:ascii="Arial" w:cs="Arial" w:eastAsia="Arial" w:hAnsi="Arial"/>
          <w:b w:val="false"/>
          <w:bCs w:val="false"/>
          <w:color w:val="404040"/>
          <w:sz w:val="22"/>
          <w:szCs w:val="22"/>
        </w:rPr>
        <w:t xml:space="preserve">Trading in all cryptocurrencies and digital tokens — not just Bitcoin</w:t>
      </w:r>
    </w:p>
    <w:p>
      <w:pPr>
        <w:pStyle w:val="ListParagraph"/>
        <w:numPr>
          <w:ilvl w:val="0"/>
          <w:numId w:val="2"/>
        </w:numPr>
        <w:spacing w:before="50" w:after="50"/>
      </w:pPr>
      <w:r>
        <w:rPr>
          <w:rFonts w:ascii="Arial" w:cs="Arial" w:eastAsia="Arial" w:hAnsi="Arial"/>
          <w:b w:val="false"/>
          <w:bCs w:val="false"/>
          <w:color w:val="404040"/>
          <w:sz w:val="22"/>
          <w:szCs w:val="22"/>
        </w:rPr>
        <w:t xml:space="preserve">$FTRA listed and tradeable on the main exchange</w:t>
      </w:r>
    </w:p>
    <w:p>
      <w:pPr>
        <w:pStyle w:val="ListParagraph"/>
        <w:numPr>
          <w:ilvl w:val="0"/>
          <w:numId w:val="2"/>
        </w:numPr>
        <w:spacing w:before="50" w:after="50"/>
      </w:pPr>
      <w:r>
        <w:rPr>
          <w:rFonts w:ascii="Arial" w:cs="Arial" w:eastAsia="Arial" w:hAnsi="Arial"/>
          <w:b w:val="false"/>
          <w:bCs w:val="false"/>
          <w:color w:val="404040"/>
          <w:sz w:val="22"/>
          <w:szCs w:val="22"/>
        </w:rPr>
        <w:t xml:space="preserve">Stablecoin services (digital currencies pegged to the value of a fiat currency)</w:t>
      </w:r>
    </w:p>
    <w:p>
      <w:pPr>
        <w:pStyle w:val="ListParagraph"/>
        <w:numPr>
          <w:ilvl w:val="0"/>
          <w:numId w:val="2"/>
        </w:numPr>
        <w:spacing w:before="50" w:after="50"/>
      </w:pPr>
      <w:r>
        <w:rPr>
          <w:rFonts w:ascii="Arial" w:cs="Arial" w:eastAsia="Arial" w:hAnsi="Arial"/>
          <w:b w:val="false"/>
          <w:bCs w:val="false"/>
          <w:color w:val="404040"/>
          <w:sz w:val="22"/>
          <w:szCs w:val="22"/>
        </w:rPr>
        <w:t xml:space="preserve">Digital asset investment products (structured products)</w:t>
      </w:r>
    </w:p>
    <w:p>
      <w:pPr>
        <w:pStyle w:val="ListParagraph"/>
        <w:numPr>
          <w:ilvl w:val="0"/>
          <w:numId w:val="2"/>
        </w:numPr>
        <w:spacing w:before="50" w:after="50"/>
      </w:pPr>
      <w:r>
        <w:rPr>
          <w:rFonts w:ascii="Arial" w:cs="Arial" w:eastAsia="Arial" w:hAnsi="Arial"/>
          <w:b w:val="false"/>
          <w:bCs w:val="false"/>
          <w:color w:val="404040"/>
          <w:sz w:val="22"/>
          <w:szCs w:val="22"/>
        </w:rPr>
        <w:t xml:space="preserve">Full $FTRA presale campaign tied to the exchange listing</w:t>
      </w:r>
    </w:p>
    <w:p>
      <w:pPr>
        <w:spacing w:before="80" w:after="80"/>
      </w:pPr>
      <w:r>
        <w:t xml:space="preserve"/>
      </w:r>
    </w:p>
    <w:p>
      <w:pPr>
        <w:pStyle w:val="Heading2"/>
        <w:spacing w:before="280" w:after="100"/>
      </w:pPr>
      <w:r>
        <w:rPr>
          <w:rFonts w:ascii="Arial" w:cs="Arial" w:eastAsia="Arial" w:hAnsi="Arial"/>
          <w:b/>
          <w:bCs/>
          <w:color w:val="1D6B5E"/>
          <w:sz w:val="24"/>
          <w:szCs w:val="24"/>
        </w:rPr>
        <w:t xml:space="preserve">5.2  What Stays the Same at Stage 2</w:t>
      </w:r>
    </w:p>
    <w:p>
      <w:pPr>
        <w:spacing w:before="60" w:after="90"/>
      </w:pPr>
      <w:r>
        <w:rPr>
          <w:rFonts w:ascii="Arial" w:cs="Arial" w:eastAsia="Arial" w:hAnsi="Arial"/>
          <w:color w:val="404040"/>
          <w:sz w:val="22"/>
          <w:szCs w:val="22"/>
        </w:rPr>
        <w:t xml:space="preserve">The five rules in Section 3 remain fully in force. The full digital asset licence does not change our position on any of the following:</w:t>
      </w:r>
    </w:p>
    <w:p>
      <w:pPr>
        <w:pStyle w:val="ListParagraph"/>
        <w:numPr>
          <w:ilvl w:val="0"/>
          <w:numId w:val="2"/>
        </w:numPr>
        <w:spacing w:before="50" w:after="50"/>
      </w:pPr>
      <w:r>
        <w:rPr>
          <w:rFonts w:ascii="Arial" w:cs="Arial" w:eastAsia="Arial" w:hAnsi="Arial"/>
          <w:b w:val="false"/>
          <w:bCs w:val="false"/>
          <w:color w:val="404040"/>
          <w:sz w:val="22"/>
          <w:szCs w:val="22"/>
        </w:rPr>
        <w:t xml:space="preserve">Geo-targeted advertising — still completely prohibited</w:t>
      </w:r>
    </w:p>
    <w:p>
      <w:pPr>
        <w:pStyle w:val="ListParagraph"/>
        <w:numPr>
          <w:ilvl w:val="0"/>
          <w:numId w:val="2"/>
        </w:numPr>
        <w:spacing w:before="50" w:after="50"/>
      </w:pPr>
      <w:r>
        <w:rPr>
          <w:rFonts w:ascii="Arial" w:cs="Arial" w:eastAsia="Arial" w:hAnsi="Arial"/>
          <w:b w:val="false"/>
          <w:bCs w:val="false"/>
          <w:color w:val="404040"/>
          <w:sz w:val="22"/>
          <w:szCs w:val="22"/>
        </w:rPr>
        <w:t xml:space="preserve">English-only content — still required without Legal approval</w:t>
      </w:r>
    </w:p>
    <w:p>
      <w:pPr>
        <w:pStyle w:val="ListParagraph"/>
        <w:numPr>
          <w:ilvl w:val="0"/>
          <w:numId w:val="2"/>
        </w:numPr>
        <w:spacing w:before="50" w:after="50"/>
      </w:pPr>
      <w:r>
        <w:rPr>
          <w:rFonts w:ascii="Arial" w:cs="Arial" w:eastAsia="Arial" w:hAnsi="Arial"/>
          <w:b w:val="false"/>
          <w:bCs w:val="false"/>
          <w:color w:val="404040"/>
          <w:sz w:val="22"/>
          <w:szCs w:val="22"/>
        </w:rPr>
        <w:t xml:space="preserve">Pakistan — still cannot be named as a current user market until our Pakistani licence is granted</w:t>
      </w:r>
    </w:p>
    <w:p>
      <w:pPr>
        <w:pStyle w:val="ListParagraph"/>
        <w:numPr>
          <w:ilvl w:val="0"/>
          <w:numId w:val="2"/>
        </w:numPr>
        <w:spacing w:before="50" w:after="50"/>
      </w:pPr>
      <w:r>
        <w:rPr>
          <w:rFonts w:ascii="Arial" w:cs="Arial" w:eastAsia="Arial" w:hAnsi="Arial"/>
          <w:b w:val="false"/>
          <w:bCs w:val="false"/>
          <w:color w:val="404040"/>
          <w:sz w:val="22"/>
          <w:szCs w:val="22"/>
        </w:rPr>
        <w:t xml:space="preserve">UAE — still cannot be marketed to until our UAE licence is granted</w:t>
      </w:r>
    </w:p>
    <w:p>
      <w:pPr>
        <w:pStyle w:val="ListParagraph"/>
        <w:numPr>
          <w:ilvl w:val="0"/>
          <w:numId w:val="2"/>
        </w:numPr>
        <w:spacing w:before="50" w:after="50"/>
      </w:pPr>
      <w:r>
        <w:rPr>
          <w:rFonts w:ascii="Arial" w:cs="Arial" w:eastAsia="Arial" w:hAnsi="Arial"/>
          <w:b w:val="false"/>
          <w:bCs w:val="false"/>
          <w:color w:val="404040"/>
          <w:sz w:val="22"/>
          <w:szCs w:val="22"/>
        </w:rPr>
        <w:t xml:space="preserve">UK, EU, USA — still blocked from our platform, still cannot receive directed marketing</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BFBFBF" w:sz="1"/>
              <w:left w:val="single" w:color="BFBFBF" w:sz="1"/>
              <w:bottom w:val="single" w:color="BFBFBF" w:sz="1"/>
              <w:right w:val="single" w:color="BFBFBF" w:sz="1"/>
            </w:tcBorders>
            <w:shd w:fill="B06000" w:val="clear"/>
            <w:tcMar>
              <w:top w:type="dxa" w:w="140"/>
              <w:left w:type="dxa" w:w="80"/>
              <w:bottom w:type="dxa" w:w="140"/>
              <w:right w:type="dxa" w:w="80"/>
            </w:tcMar>
            <w:vAlign w:val="center"/>
          </w:tcPr>
          <w:p>
            <w:pPr>
              <w:jc w:val="center"/>
            </w:pPr>
            <w:r>
              <w:rPr>
                <w:rFonts w:ascii="Arial" w:cs="Arial" w:eastAsia="Arial" w:hAnsi="Arial"/>
                <w:b/>
                <w:bCs/>
                <w:color w:val="FFFFFF"/>
                <w:sz w:val="32"/>
                <w:szCs w:val="32"/>
              </w:rPr>
              <w:t xml:space="preserve">!</w:t>
            </w:r>
          </w:p>
        </w:tc>
        <w:tc>
          <w:tcPr>
            <w:tcW w:type="dxa" w:w="8720"/>
            <w:tcBorders>
              <w:top w:val="single" w:color="BFBFBF" w:sz="1"/>
              <w:left w:val="single" w:color="BFBFBF" w:sz="1"/>
              <w:bottom w:val="single" w:color="BFBFBF" w:sz="1"/>
              <w:right w:val="single" w:color="BFBFBF" w:sz="1"/>
            </w:tcBorders>
            <w:shd w:fill="FFF2CC" w:val="clear"/>
            <w:tcMar>
              <w:top w:type="dxa" w:w="140"/>
              <w:left w:type="dxa" w:w="200"/>
              <w:bottom w:type="dxa" w:w="140"/>
              <w:right w:type="dxa" w:w="200"/>
            </w:tcMar>
          </w:tcPr>
          <w:p>
            <w:r>
              <w:rPr>
                <w:rFonts w:ascii="Arial" w:cs="Arial" w:eastAsia="Arial" w:hAnsi="Arial"/>
                <w:b/>
                <w:bCs/>
                <w:color w:val="B06000"/>
                <w:sz w:val="22"/>
                <w:szCs w:val="22"/>
              </w:rPr>
              <w:t xml:space="preserve">The El Salvador licence does not mean we can operate in other countries</w:t>
            </w:r>
          </w:p>
          <w:p>
            <w:pPr>
              <w:spacing w:before="60"/>
            </w:pPr>
            <w:r>
              <w:rPr>
                <w:rFonts w:ascii="Arial" w:cs="Arial" w:eastAsia="Arial" w:hAnsi="Arial"/>
                <w:color w:val="404040"/>
                <w:sz w:val="20"/>
                <w:szCs w:val="20"/>
              </w:rPr>
              <w:t xml:space="preserve">This is the single most important thing to understand at Stage 2. Holding a full digital asset licence from El Salvador means we can run a full exchange in El Salvador, and that users from countries with no active enforcement against offshore exchanges can find us organically. It does not mean we are licensed to offer services to UK residents, EU residents, or users in regulated markets. That requires separate licences for each jurisdiction.</w:t>
            </w:r>
          </w:p>
        </w:tc>
      </w:tr>
    </w:tbl>
    <w:p>
      <w:pPr>
        <w:spacing w:before="80" w:after="80"/>
      </w:pPr>
      <w:r>
        <w:t xml:space="preserve"/>
      </w:r>
    </w:p>
    <w:p>
      <w:pPr>
        <w:pStyle w:val="Heading2"/>
        <w:spacing w:before="280" w:after="100"/>
      </w:pPr>
      <w:r>
        <w:rPr>
          <w:rFonts w:ascii="Arial" w:cs="Arial" w:eastAsia="Arial" w:hAnsi="Arial"/>
          <w:b/>
          <w:bCs/>
          <w:color w:val="1D6B5E"/>
          <w:sz w:val="24"/>
          <w:szCs w:val="24"/>
        </w:rPr>
        <w:t xml:space="preserve">5.3  The $FTRA Presale at Stage 2</w:t>
      </w:r>
    </w:p>
    <w:p>
      <w:pPr>
        <w:spacing w:before="60" w:after="90"/>
      </w:pPr>
      <w:r>
        <w:rPr>
          <w:rFonts w:ascii="Arial" w:cs="Arial" w:eastAsia="Arial" w:hAnsi="Arial"/>
          <w:color w:val="404040"/>
          <w:sz w:val="22"/>
          <w:szCs w:val="22"/>
        </w:rPr>
        <w:t xml:space="preserve">At Stage 2, the $FTRA presale campaign can be run properly. The token will be listed on the main exchange and the full digital asset licence gives that listing formal regulatory backing. Permitted at Stage 2:</w:t>
      </w:r>
    </w:p>
    <w:p>
      <w:pPr>
        <w:pStyle w:val="ListParagraph"/>
        <w:numPr>
          <w:ilvl w:val="0"/>
          <w:numId w:val="2"/>
        </w:numPr>
        <w:spacing w:before="50" w:after="50"/>
      </w:pPr>
      <w:r>
        <w:rPr>
          <w:rFonts w:ascii="Arial" w:cs="Arial" w:eastAsia="Arial" w:hAnsi="Arial"/>
          <w:b w:val="false"/>
          <w:bCs w:val="false"/>
          <w:color w:val="404040"/>
          <w:sz w:val="22"/>
          <w:szCs w:val="22"/>
        </w:rPr>
        <w:t xml:space="preserve">Announcing the $FTRA listing on the main exchange</w:t>
      </w:r>
    </w:p>
    <w:p>
      <w:pPr>
        <w:pStyle w:val="ListParagraph"/>
        <w:numPr>
          <w:ilvl w:val="0"/>
          <w:numId w:val="2"/>
        </w:numPr>
        <w:spacing w:before="50" w:after="50"/>
      </w:pPr>
      <w:r>
        <w:rPr>
          <w:rFonts w:ascii="Arial" w:cs="Arial" w:eastAsia="Arial" w:hAnsi="Arial"/>
          <w:b w:val="false"/>
          <w:bCs w:val="false"/>
          <w:color w:val="404040"/>
          <w:sz w:val="22"/>
          <w:szCs w:val="22"/>
        </w:rPr>
        <w:t xml:space="preserve">Publishing presale pricing, dates, and allocation details</w:t>
      </w:r>
    </w:p>
    <w:p>
      <w:pPr>
        <w:pStyle w:val="ListParagraph"/>
        <w:numPr>
          <w:ilvl w:val="0"/>
          <w:numId w:val="2"/>
        </w:numPr>
        <w:spacing w:before="50" w:after="50"/>
      </w:pPr>
      <w:r>
        <w:rPr>
          <w:rFonts w:ascii="Arial" w:cs="Arial" w:eastAsia="Arial" w:hAnsi="Arial"/>
          <w:b w:val="false"/>
          <w:bCs w:val="false"/>
          <w:color w:val="404040"/>
          <w:sz w:val="22"/>
          <w:szCs w:val="22"/>
        </w:rPr>
        <w:t xml:space="preserve">Running global English-language social media campaigns around the presale</w:t>
      </w:r>
    </w:p>
    <w:p>
      <w:pPr>
        <w:pStyle w:val="ListParagraph"/>
        <w:numPr>
          <w:ilvl w:val="0"/>
          <w:numId w:val="2"/>
        </w:numPr>
        <w:spacing w:before="50" w:after="50"/>
      </w:pPr>
      <w:r>
        <w:rPr>
          <w:rFonts w:ascii="Arial" w:cs="Arial" w:eastAsia="Arial" w:hAnsi="Arial"/>
          <w:b w:val="false"/>
          <w:bCs w:val="false"/>
          <w:color w:val="404040"/>
          <w:sz w:val="22"/>
          <w:szCs w:val="22"/>
        </w:rPr>
        <w:t xml:space="preserve">Engaging global English-language crypto media and influencers for presale coverage</w:t>
      </w:r>
    </w:p>
    <w:p>
      <w:pPr>
        <w:pStyle w:val="ListParagraph"/>
        <w:numPr>
          <w:ilvl w:val="0"/>
          <w:numId w:val="2"/>
        </w:numPr>
        <w:spacing w:before="50" w:after="50"/>
      </w:pPr>
      <w:r>
        <w:rPr>
          <w:rFonts w:ascii="Arial" w:cs="Arial" w:eastAsia="Arial" w:hAnsi="Arial"/>
          <w:b w:val="false"/>
          <w:bCs w:val="false"/>
          <w:color w:val="404040"/>
          <w:sz w:val="22"/>
          <w:szCs w:val="22"/>
        </w:rPr>
        <w:t xml:space="preserve">Publishing exchange volume, trading pair data, and price data</w:t>
      </w:r>
    </w:p>
    <w:p>
      <w:pPr>
        <w:spacing w:before="80" w:after="80"/>
      </w:pPr>
      <w:r>
        <w:t xml:space="preserve"/>
      </w:r>
    </w:p>
    <w:p>
      <w:pPr>
        <w:spacing w:before="60" w:after="90"/>
      </w:pPr>
      <w:r>
        <w:rPr>
          <w:rFonts w:ascii="Arial" w:cs="Arial" w:eastAsia="Arial" w:hAnsi="Arial"/>
          <w:color w:val="404040"/>
          <w:sz w:val="22"/>
          <w:szCs w:val="22"/>
        </w:rPr>
        <w:t xml:space="preserve">Still not permitted at Stage 2 for the presale:</w:t>
      </w:r>
    </w:p>
    <w:p>
      <w:pPr>
        <w:pStyle w:val="ListParagraph"/>
        <w:numPr>
          <w:ilvl w:val="0"/>
          <w:numId w:val="2"/>
        </w:numPr>
        <w:spacing w:before="50" w:after="50"/>
      </w:pPr>
      <w:r>
        <w:rPr>
          <w:rFonts w:ascii="Arial" w:cs="Arial" w:eastAsia="Arial" w:hAnsi="Arial"/>
          <w:b w:val="false"/>
          <w:bCs w:val="false"/>
          <w:color w:val="404040"/>
          <w:sz w:val="22"/>
          <w:szCs w:val="22"/>
        </w:rPr>
        <w:t xml:space="preserve">Language suggesting $FTRA is an investment that will go up in value</w:t>
      </w:r>
    </w:p>
    <w:p>
      <w:pPr>
        <w:pStyle w:val="ListParagraph"/>
        <w:numPr>
          <w:ilvl w:val="0"/>
          <w:numId w:val="2"/>
        </w:numPr>
        <w:spacing w:before="50" w:after="50"/>
      </w:pPr>
      <w:r>
        <w:rPr>
          <w:rFonts w:ascii="Arial" w:cs="Arial" w:eastAsia="Arial" w:hAnsi="Arial"/>
          <w:b w:val="false"/>
          <w:bCs w:val="false"/>
          <w:color w:val="404040"/>
          <w:sz w:val="22"/>
          <w:szCs w:val="22"/>
        </w:rPr>
        <w:t xml:space="preserve">Presale campaigns targeted at users in the UK, EU, or USA</w:t>
      </w:r>
    </w:p>
    <w:p>
      <w:pPr>
        <w:pStyle w:val="ListParagraph"/>
        <w:numPr>
          <w:ilvl w:val="0"/>
          <w:numId w:val="2"/>
        </w:numPr>
        <w:spacing w:before="50" w:after="50"/>
      </w:pPr>
      <w:r>
        <w:rPr>
          <w:rFonts w:ascii="Arial" w:cs="Arial" w:eastAsia="Arial" w:hAnsi="Arial"/>
          <w:b w:val="false"/>
          <w:bCs w:val="false"/>
          <w:color w:val="404040"/>
          <w:sz w:val="22"/>
          <w:szCs w:val="22"/>
        </w:rPr>
        <w:t xml:space="preserve">Any language guaranteeing financial returns</w:t>
      </w:r>
    </w:p>
    <w:p>
      <w:pPr>
        <w:pBdr>
          <w:bottom w:val="single" w:color="DDDDDD" w:sz="4" w:space="1"/>
        </w:pBdr>
        <w:spacing w:before="180" w:after="180"/>
      </w:pPr>
      <w:r>
        <w:t xml:space="preserve"/>
      </w:r>
    </w:p>
    <w:p>
      <w:pPr>
        <w:pStyle w:val="Heading1"/>
        <w:spacing w:before="400" w:after="140"/>
      </w:pPr>
      <w:r>
        <w:rPr>
          <w:rFonts w:ascii="Arial" w:cs="Arial" w:eastAsia="Arial" w:hAnsi="Arial"/>
          <w:b/>
          <w:bCs/>
          <w:color w:val="1A1A2E"/>
          <w:sz w:val="30"/>
          <w:szCs w:val="30"/>
        </w:rPr>
        <w:t xml:space="preserve">6. The $FTRA Token — What You Can Always Say and What You Cannot</w:t>
      </w:r>
    </w:p>
    <w:p>
      <w:pPr>
        <w:spacing w:before="60" w:after="90"/>
      </w:pPr>
      <w:r>
        <w:rPr>
          <w:rFonts w:ascii="Arial" w:cs="Arial" w:eastAsia="Arial" w:hAnsi="Arial"/>
          <w:color w:val="404040"/>
          <w:sz w:val="22"/>
          <w:szCs w:val="22"/>
        </w:rPr>
        <w:t xml:space="preserve">$FTRA is Fuutura's utility token. It is a digital token that gives holders access to services within the Fuutura ecosystem. It is not a share in a company, a bond, or an investment product. This distinction matters enormously for how we communicate about it.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1"/>
              <w:left w:val="single" w:color="BFBFBF" w:sz="1"/>
              <w:bottom w:val="single" w:color="BFBFBF" w:sz="1"/>
              <w:right w:val="single" w:color="BFBFBF" w:sz="1"/>
            </w:tcBorders>
            <w:shd w:fill="375623"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ALWAYS PERMITTED — BOTH STAGES</w:t>
            </w:r>
          </w:p>
        </w:tc>
        <w:tc>
          <w:tcPr>
            <w:tcW w:type="dxa" w:w="4680"/>
            <w:tcBorders>
              <w:top w:val="single" w:color="BFBFBF" w:sz="1"/>
              <w:left w:val="single" w:color="BFBFBF" w:sz="1"/>
              <w:bottom w:val="single" w:color="BFBFBF" w:sz="1"/>
              <w:right w:val="single" w:color="BFBFBF" w:sz="1"/>
            </w:tcBorders>
            <w:shd w:fill="C00000"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NEVER PERMITTED — EITHER STAGE</w:t>
            </w:r>
          </w:p>
        </w:tc>
      </w:tr>
      <w:tr>
        <w:tc>
          <w:tcPr>
            <w:tcW w:type="dxa" w:w="4680"/>
            <w:tcBorders>
              <w:top w:val="single" w:color="BFBFBF" w:sz="1"/>
              <w:left w:val="single" w:color="BFBFBF" w:sz="1"/>
              <w:bottom w:val="single" w:color="BFBFBF" w:sz="1"/>
              <w:right w:val="single" w:color="BFBFBF" w:sz="1"/>
            </w:tcBorders>
            <w:shd w:fill="E2EFDA"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18"/>
                <w:szCs w:val="18"/>
              </w:rPr>
              <w:t xml:space="preserve">$FTRA is a utility token that powers access to services on the Fuutura platform</w:t>
            </w:r>
          </w:p>
        </w:tc>
        <w:tc>
          <w:tcPr>
            <w:tcW w:type="dxa" w:w="4680"/>
            <w:tcBorders>
              <w:top w:val="single" w:color="BFBFBF" w:sz="1"/>
              <w:left w:val="single" w:color="BFBFBF" w:sz="1"/>
              <w:bottom w:val="single" w:color="BFBFBF" w:sz="1"/>
              <w:right w:val="single" w:color="BFBFBF" w:sz="1"/>
            </w:tcBorders>
            <w:shd w:fill="FCE4E4"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18"/>
                <w:szCs w:val="18"/>
              </w:rPr>
              <w:t xml:space="preserve">"$FTRA is an investment" or "invest in $FTRA"</w:t>
            </w:r>
          </w:p>
        </w:tc>
      </w:tr>
      <w:tr>
        <w:tc>
          <w:tcPr>
            <w:tcW w:type="dxa" w:w="4680"/>
            <w:tcBorders>
              <w:top w:val="single" w:color="BFBFBF" w:sz="1"/>
              <w:left w:val="single" w:color="BFBFBF" w:sz="1"/>
              <w:bottom w:val="single" w:color="BFBFBF" w:sz="1"/>
              <w:right w:val="single" w:color="BFBFBF" w:sz="1"/>
            </w:tcBorders>
            <w:shd w:fill="E2EFDA"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18"/>
                <w:szCs w:val="18"/>
              </w:rPr>
              <w:t xml:space="preserve">$FTRA can be used to [specific utility function — e.g. reduced trading fees, staking, governance]</w:t>
            </w:r>
          </w:p>
        </w:tc>
        <w:tc>
          <w:tcPr>
            <w:tcW w:type="dxa" w:w="4680"/>
            <w:tcBorders>
              <w:top w:val="single" w:color="BFBFBF" w:sz="1"/>
              <w:left w:val="single" w:color="BFBFBF" w:sz="1"/>
              <w:bottom w:val="single" w:color="BFBFBF" w:sz="1"/>
              <w:right w:val="single" w:color="BFBFBF" w:sz="1"/>
            </w:tcBorders>
            <w:shd w:fill="FCE4E4"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18"/>
                <w:szCs w:val="18"/>
              </w:rPr>
              <w:t xml:space="preserve">"$FTRA will increase in value" or any price prediction language</w:t>
            </w:r>
          </w:p>
        </w:tc>
      </w:tr>
      <w:tr>
        <w:tc>
          <w:tcPr>
            <w:tcW w:type="dxa" w:w="4680"/>
            <w:tcBorders>
              <w:top w:val="single" w:color="BFBFBF" w:sz="1"/>
              <w:left w:val="single" w:color="BFBFBF" w:sz="1"/>
              <w:bottom w:val="single" w:color="BFBFBF" w:sz="1"/>
              <w:right w:val="single" w:color="BFBFBF" w:sz="1"/>
            </w:tcBorders>
            <w:shd w:fill="E2EFDA"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18"/>
                <w:szCs w:val="18"/>
              </w:rPr>
              <w:t xml:space="preserve">$FTRA is available to trade on our decentralised exchange</w:t>
            </w:r>
          </w:p>
        </w:tc>
        <w:tc>
          <w:tcPr>
            <w:tcW w:type="dxa" w:w="4680"/>
            <w:tcBorders>
              <w:top w:val="single" w:color="BFBFBF" w:sz="1"/>
              <w:left w:val="single" w:color="BFBFBF" w:sz="1"/>
              <w:bottom w:val="single" w:color="BFBFBF" w:sz="1"/>
              <w:right w:val="single" w:color="BFBFBF" w:sz="1"/>
            </w:tcBorders>
            <w:shd w:fill="FCE4E4"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18"/>
                <w:szCs w:val="18"/>
              </w:rPr>
              <w:t xml:space="preserve">"Guaranteed returns" or "earn X% on your $FTRA"</w:t>
            </w:r>
          </w:p>
        </w:tc>
      </w:tr>
      <w:tr>
        <w:tc>
          <w:tcPr>
            <w:tcW w:type="dxa" w:w="4680"/>
            <w:tcBorders>
              <w:top w:val="single" w:color="BFBFBF" w:sz="1"/>
              <w:left w:val="single" w:color="BFBFBF" w:sz="1"/>
              <w:bottom w:val="single" w:color="BFBFBF" w:sz="1"/>
              <w:right w:val="single" w:color="BFBFBF" w:sz="1"/>
            </w:tcBorders>
            <w:shd w:fill="E2EFDA"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18"/>
                <w:szCs w:val="18"/>
              </w:rPr>
              <w:t xml:space="preserve">Describing the total supply, token distribution, and release schedule accurately</w:t>
            </w:r>
          </w:p>
        </w:tc>
        <w:tc>
          <w:tcPr>
            <w:tcW w:type="dxa" w:w="4680"/>
            <w:tcBorders>
              <w:top w:val="single" w:color="BFBFBF" w:sz="1"/>
              <w:left w:val="single" w:color="BFBFBF" w:sz="1"/>
              <w:bottom w:val="single" w:color="BFBFBF" w:sz="1"/>
              <w:right w:val="single" w:color="BFBFBF" w:sz="1"/>
            </w:tcBorders>
            <w:shd w:fill="FCE4E4"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18"/>
                <w:szCs w:val="18"/>
              </w:rPr>
              <w:t xml:space="preserve">"$FTRA is like buying shares in Fuutura" — it is not</w:t>
            </w:r>
          </w:p>
        </w:tc>
      </w:tr>
      <w:tr>
        <w:tc>
          <w:tcPr>
            <w:tcW w:type="dxa" w:w="4680"/>
            <w:tcBorders>
              <w:top w:val="single" w:color="BFBFBF" w:sz="1"/>
              <w:left w:val="single" w:color="BFBFBF" w:sz="1"/>
              <w:bottom w:val="single" w:color="BFBFBF" w:sz="1"/>
              <w:right w:val="single" w:color="BFBFBF" w:sz="1"/>
            </w:tcBorders>
            <w:shd w:fill="E2EFDA"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18"/>
                <w:szCs w:val="18"/>
              </w:rPr>
              <w:t xml:space="preserve">Publishing the $FTRA whitepaper and technical documentation</w:t>
            </w:r>
          </w:p>
        </w:tc>
        <w:tc>
          <w:tcPr>
            <w:tcW w:type="dxa" w:w="4680"/>
            <w:tcBorders>
              <w:top w:val="single" w:color="BFBFBF" w:sz="1"/>
              <w:left w:val="single" w:color="BFBFBF" w:sz="1"/>
              <w:bottom w:val="single" w:color="BFBFBF" w:sz="1"/>
              <w:right w:val="single" w:color="BFBFBF" w:sz="1"/>
            </w:tcBorders>
            <w:shd w:fill="FCE4E4"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18"/>
                <w:szCs w:val="18"/>
              </w:rPr>
              <w:t xml:space="preserve">"$FTRA is backed by" any specific asset or guarantee (unless legally confirmed)</w:t>
            </w:r>
          </w:p>
        </w:tc>
      </w:tr>
      <w:tr>
        <w:tc>
          <w:tcPr>
            <w:tcW w:type="dxa" w:w="4680"/>
            <w:tcBorders>
              <w:top w:val="single" w:color="BFBFBF" w:sz="1"/>
              <w:left w:val="single" w:color="BFBFBF" w:sz="1"/>
              <w:bottom w:val="single" w:color="BFBFBF" w:sz="1"/>
              <w:right w:val="single" w:color="BFBFBF" w:sz="1"/>
            </w:tcBorders>
            <w:shd w:fill="E2EFDA"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18"/>
                <w:szCs w:val="18"/>
              </w:rPr>
              <w:t xml:space="preserve">Announcing partnerships, listings, and ecosystem developments</w:t>
            </w:r>
          </w:p>
        </w:tc>
        <w:tc>
          <w:tcPr>
            <w:tcW w:type="dxa" w:w="4680"/>
            <w:tcBorders>
              <w:top w:val="single" w:color="BFBFBF" w:sz="1"/>
              <w:left w:val="single" w:color="BFBFBF" w:sz="1"/>
              <w:bottom w:val="single" w:color="BFBFBF" w:sz="1"/>
              <w:right w:val="single" w:color="BFBFBF" w:sz="1"/>
            </w:tcBorders>
            <w:shd w:fill="FCE4E4"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18"/>
                <w:szCs w:val="18"/>
              </w:rPr>
              <w:t xml:space="preserve">Language aimed at getting people in blocked countries to buy $FTRA</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BFBFBF" w:sz="1"/>
              <w:left w:val="single" w:color="BFBFBF" w:sz="1"/>
              <w:bottom w:val="single" w:color="BFBFBF" w:sz="1"/>
              <w:right w:val="single" w:color="BFBFBF" w:sz="1"/>
            </w:tcBorders>
            <w:shd w:fill="C00000" w:val="clear"/>
            <w:tcMar>
              <w:top w:type="dxa" w:w="140"/>
              <w:left w:type="dxa" w:w="80"/>
              <w:bottom w:type="dxa" w:w="140"/>
              <w:right w:type="dxa" w:w="80"/>
            </w:tcMar>
            <w:vAlign w:val="center"/>
          </w:tcPr>
          <w:p>
            <w:pPr>
              <w:jc w:val="center"/>
            </w:pPr>
            <w:r>
              <w:rPr>
                <w:rFonts w:ascii="Arial" w:cs="Arial" w:eastAsia="Arial" w:hAnsi="Arial"/>
                <w:b/>
                <w:bCs/>
                <w:color w:val="FFFFFF"/>
                <w:sz w:val="32"/>
                <w:szCs w:val="32"/>
              </w:rPr>
              <w:t xml:space="preserve">!</w:t>
            </w:r>
          </w:p>
        </w:tc>
        <w:tc>
          <w:tcPr>
            <w:tcW w:type="dxa" w:w="8720"/>
            <w:tcBorders>
              <w:top w:val="single" w:color="BFBFBF" w:sz="1"/>
              <w:left w:val="single" w:color="BFBFBF" w:sz="1"/>
              <w:bottom w:val="single" w:color="BFBFBF" w:sz="1"/>
              <w:right w:val="single" w:color="BFBFBF" w:sz="1"/>
            </w:tcBorders>
            <w:shd w:fill="FCE4E4" w:val="clear"/>
            <w:tcMar>
              <w:top w:type="dxa" w:w="140"/>
              <w:left w:type="dxa" w:w="200"/>
              <w:bottom w:type="dxa" w:w="140"/>
              <w:right w:type="dxa" w:w="200"/>
            </w:tcMar>
          </w:tcPr>
          <w:p>
            <w:r>
              <w:rPr>
                <w:rFonts w:ascii="Arial" w:cs="Arial" w:eastAsia="Arial" w:hAnsi="Arial"/>
                <w:b/>
                <w:bCs/>
                <w:color w:val="C00000"/>
                <w:sz w:val="22"/>
                <w:szCs w:val="22"/>
              </w:rPr>
              <w:t xml:space="preserve">Never describe $FTRA as an investment or suggest a financial return</w:t>
            </w:r>
          </w:p>
          <w:p>
            <w:pPr>
              <w:spacing w:before="60"/>
            </w:pPr>
            <w:r>
              <w:rPr>
                <w:rFonts w:ascii="Arial" w:cs="Arial" w:eastAsia="Arial" w:hAnsi="Arial"/>
                <w:color w:val="404040"/>
                <w:sz w:val="20"/>
                <w:szCs w:val="20"/>
              </w:rPr>
              <w:t xml:space="preserve">If any content — press release, social post, influencer script, or pitch material — uses the words 'invest', 'investment', 'return', 'profit', 'guaranteed', or 'earn [X]%' in connection with $FTRA, it must be removed before publication. This language is how financial regulators identify unlicensed investment products. Using it exposes Fuutura and individual team members to personal legal liability in multiple countries, regardless of where the content is published.</w:t>
            </w:r>
          </w:p>
        </w:tc>
      </w:tr>
    </w:tbl>
    <w:p>
      <w:pPr>
        <w:pBdr>
          <w:bottom w:val="single" w:color="DDDDDD" w:sz="4" w:space="1"/>
        </w:pBdr>
        <w:spacing w:before="180" w:after="180"/>
      </w:pPr>
      <w:r>
        <w:t xml:space="preserve"/>
      </w:r>
    </w:p>
    <w:p>
      <w:pPr>
        <w:pStyle w:val="Heading1"/>
        <w:spacing w:before="400" w:after="140"/>
      </w:pPr>
      <w:r>
        <w:rPr>
          <w:rFonts w:ascii="Arial" w:cs="Arial" w:eastAsia="Arial" w:hAnsi="Arial"/>
          <w:b/>
          <w:bCs/>
          <w:color w:val="1A1A2E"/>
          <w:sz w:val="30"/>
          <w:szCs w:val="30"/>
        </w:rPr>
        <w:t xml:space="preserve">7. Where Our Platform Is and Is Not Available to Users</w:t>
      </w:r>
    </w:p>
    <w:p>
      <w:pPr>
        <w:spacing w:before="60" w:after="90"/>
      </w:pPr>
      <w:r>
        <w:rPr>
          <w:rFonts w:ascii="Arial" w:cs="Arial" w:eastAsia="Arial" w:hAnsi="Arial"/>
          <w:color w:val="404040"/>
          <w:sz w:val="22"/>
          <w:szCs w:val="22"/>
        </w:rPr>
        <w:t xml:space="preserve">Our main exchange blocks users from certain countries at a technical level. This means people from those countries cannot access the platform even if they try. Marketing must accurately reflect this — we must not suggest users from blocked countries can sign up.</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rPr>
          <w:tblHeader/>
        </w:trPr>
        <w:tc>
          <w:tcPr>
            <w:tcW w:type="dxa" w:w="2600"/>
            <w:tcBorders>
              <w:top w:val="single" w:color="BFBFBF" w:sz="1"/>
              <w:left w:val="single" w:color="BFBFBF" w:sz="1"/>
              <w:bottom w:val="single" w:color="BFBFBF" w:sz="1"/>
              <w:right w:val="single" w:color="BFBFBF" w:sz="1"/>
            </w:tcBorders>
            <w:shd w:fill="1A1A2E" w:val="clear"/>
            <w:tcMar>
              <w:top w:type="dxa" w:w="110"/>
              <w:left w:type="dxa" w:w="140"/>
              <w:bottom w:type="dxa" w:w="110"/>
              <w:right w:type="dxa" w:w="140"/>
            </w:tcMar>
          </w:tcPr>
          <w:p>
            <w:pPr>
              <w:jc w:val="center"/>
            </w:pPr>
            <w:r>
              <w:rPr>
                <w:rFonts w:ascii="Arial" w:cs="Arial" w:eastAsia="Arial" w:hAnsi="Arial"/>
                <w:b/>
                <w:bCs/>
                <w:color w:val="FFFFFF"/>
                <w:sz w:val="19"/>
                <w:szCs w:val="19"/>
              </w:rPr>
              <w:t xml:space="preserve">Country / Region</w:t>
            </w:r>
          </w:p>
        </w:tc>
        <w:tc>
          <w:tcPr>
            <w:tcW w:type="dxa" w:w="1600"/>
            <w:tcBorders>
              <w:top w:val="single" w:color="BFBFBF" w:sz="1"/>
              <w:left w:val="single" w:color="BFBFBF" w:sz="1"/>
              <w:bottom w:val="single" w:color="BFBFBF" w:sz="1"/>
              <w:right w:val="single" w:color="BFBFBF" w:sz="1"/>
            </w:tcBorders>
            <w:shd w:fill="1A1A2E" w:val="clear"/>
            <w:tcMar>
              <w:top w:type="dxa" w:w="110"/>
              <w:left w:type="dxa" w:w="140"/>
              <w:bottom w:type="dxa" w:w="110"/>
              <w:right w:type="dxa" w:w="140"/>
            </w:tcMar>
          </w:tcPr>
          <w:p>
            <w:pPr>
              <w:jc w:val="center"/>
            </w:pPr>
            <w:r>
              <w:rPr>
                <w:rFonts w:ascii="Arial" w:cs="Arial" w:eastAsia="Arial" w:hAnsi="Arial"/>
                <w:b/>
                <w:bCs/>
                <w:color w:val="FFFFFF"/>
                <w:sz w:val="19"/>
                <w:szCs w:val="19"/>
              </w:rPr>
              <w:t xml:space="preserve">Platform Status</w:t>
            </w:r>
          </w:p>
        </w:tc>
        <w:tc>
          <w:tcPr>
            <w:tcW w:type="dxa" w:w="5160"/>
            <w:tcBorders>
              <w:top w:val="single" w:color="BFBFBF" w:sz="1"/>
              <w:left w:val="single" w:color="BFBFBF" w:sz="1"/>
              <w:bottom w:val="single" w:color="BFBFBF" w:sz="1"/>
              <w:right w:val="single" w:color="BFBFBF" w:sz="1"/>
            </w:tcBorders>
            <w:shd w:fill="1A1A2E" w:val="clear"/>
            <w:tcMar>
              <w:top w:type="dxa" w:w="110"/>
              <w:left w:type="dxa" w:w="140"/>
              <w:bottom w:type="dxa" w:w="110"/>
              <w:right w:type="dxa" w:w="140"/>
            </w:tcMar>
          </w:tcPr>
          <w:p>
            <w:pPr>
              <w:jc w:val="center"/>
            </w:pPr>
            <w:r>
              <w:rPr>
                <w:rFonts w:ascii="Arial" w:cs="Arial" w:eastAsia="Arial" w:hAnsi="Arial"/>
                <w:b/>
                <w:bCs/>
                <w:color w:val="FFFFFF"/>
                <w:sz w:val="19"/>
                <w:szCs w:val="19"/>
              </w:rPr>
              <w:t xml:space="preserve">What This Means for Marketing</w:t>
            </w:r>
          </w:p>
        </w:tc>
      </w:tr>
      <w:tr>
        <w:tc>
          <w:tcPr>
            <w:tcW w:type="dxa" w:w="2600"/>
            <w:tcBorders>
              <w:top w:val="single" w:color="BFBFBF" w:sz="1"/>
              <w:left w:val="single" w:color="BFBFBF" w:sz="1"/>
              <w:bottom w:val="single" w:color="BFBFBF" w:sz="1"/>
              <w:right w:val="single" w:color="BFBFBF" w:sz="1"/>
            </w:tcBorders>
            <w:shd w:fill="E2EFDA" w:val="clear"/>
            <w:tcMar>
              <w:top w:type="dxa" w:w="100"/>
              <w:left w:type="dxa" w:w="140"/>
              <w:bottom w:type="dxa" w:w="100"/>
              <w:right w:type="dxa" w:w="140"/>
            </w:tcMar>
            <w:vAlign w:val="center"/>
          </w:tcPr>
          <w:p>
            <w:pPr>
              <w:jc w:val="left"/>
            </w:pPr>
            <w:r>
              <w:rPr>
                <w:rFonts w:ascii="Arial" w:cs="Arial" w:eastAsia="Arial" w:hAnsi="Arial"/>
                <w:b/>
                <w:bCs/>
                <w:color w:val="404040"/>
                <w:sz w:val="18"/>
                <w:szCs w:val="18"/>
              </w:rPr>
              <w:t xml:space="preserve">El Salvador</w:t>
            </w:r>
          </w:p>
        </w:tc>
        <w:tc>
          <w:tcPr>
            <w:tcW w:type="dxa" w:w="1600"/>
            <w:tcBorders>
              <w:top w:val="single" w:color="BFBFBF" w:sz="1"/>
              <w:left w:val="single" w:color="BFBFBF" w:sz="1"/>
              <w:bottom w:val="single" w:color="BFBFBF" w:sz="1"/>
              <w:right w:val="single" w:color="BFBFBF" w:sz="1"/>
            </w:tcBorders>
            <w:shd w:fill="E2EFDA" w:val="clear"/>
            <w:tcMar>
              <w:top w:type="dxa" w:w="100"/>
              <w:left w:type="dxa" w:w="140"/>
              <w:bottom w:type="dxa" w:w="100"/>
              <w:right w:type="dxa" w:w="140"/>
            </w:tcMar>
            <w:vAlign w:val="center"/>
          </w:tcPr>
          <w:p>
            <w:pPr>
              <w:jc w:val="center"/>
            </w:pPr>
            <w:r>
              <w:rPr>
                <w:rFonts w:ascii="Arial" w:cs="Arial" w:eastAsia="Arial" w:hAnsi="Arial"/>
                <w:b/>
                <w:bCs/>
                <w:color w:val="375623"/>
                <w:sz w:val="18"/>
                <w:szCs w:val="18"/>
              </w:rPr>
              <w:t xml:space="preserve">OPEN</w:t>
            </w:r>
          </w:p>
        </w:tc>
        <w:tc>
          <w:tcPr>
            <w:tcW w:type="dxa" w:w="5160"/>
            <w:tcBorders>
              <w:top w:val="single" w:color="BFBFBF" w:sz="1"/>
              <w:left w:val="single" w:color="BFBFBF" w:sz="1"/>
              <w:bottom w:val="single" w:color="BFBFBF" w:sz="1"/>
              <w:right w:val="single" w:color="BFBFBF" w:sz="1"/>
            </w:tcBorders>
            <w:shd w:fill="E2EFDA"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17"/>
                <w:szCs w:val="17"/>
              </w:rPr>
              <w:t xml:space="preserve">Our main exchange is fully licensed here. Market freely to Salvadoran users.</w:t>
            </w:r>
          </w:p>
        </w:tc>
      </w:tr>
      <w:tr>
        <w:tc>
          <w:tcPr>
            <w:tcW w:type="dxa" w:w="2600"/>
            <w:tcBorders>
              <w:top w:val="single" w:color="BFBFBF" w:sz="1"/>
              <w:left w:val="single" w:color="BFBFBF" w:sz="1"/>
              <w:bottom w:val="single" w:color="BFBFBF" w:sz="1"/>
              <w:right w:val="single" w:color="BFBFBF" w:sz="1"/>
            </w:tcBorders>
            <w:shd w:fill="E2EFDA" w:val="clear"/>
            <w:tcMar>
              <w:top w:type="dxa" w:w="100"/>
              <w:left w:type="dxa" w:w="140"/>
              <w:bottom w:type="dxa" w:w="100"/>
              <w:right w:type="dxa" w:w="140"/>
            </w:tcMar>
            <w:vAlign w:val="center"/>
          </w:tcPr>
          <w:p>
            <w:pPr>
              <w:jc w:val="left"/>
            </w:pPr>
            <w:r>
              <w:rPr>
                <w:rFonts w:ascii="Arial" w:cs="Arial" w:eastAsia="Arial" w:hAnsi="Arial"/>
                <w:b/>
                <w:bCs/>
                <w:color w:val="404040"/>
                <w:sz w:val="18"/>
                <w:szCs w:val="18"/>
              </w:rPr>
              <w:t xml:space="preserve">Most of Sub-Saharan Africa</w:t>
            </w:r>
          </w:p>
        </w:tc>
        <w:tc>
          <w:tcPr>
            <w:tcW w:type="dxa" w:w="1600"/>
            <w:tcBorders>
              <w:top w:val="single" w:color="BFBFBF" w:sz="1"/>
              <w:left w:val="single" w:color="BFBFBF" w:sz="1"/>
              <w:bottom w:val="single" w:color="BFBFBF" w:sz="1"/>
              <w:right w:val="single" w:color="BFBFBF" w:sz="1"/>
            </w:tcBorders>
            <w:shd w:fill="E2EFDA" w:val="clear"/>
            <w:tcMar>
              <w:top w:type="dxa" w:w="100"/>
              <w:left w:type="dxa" w:w="140"/>
              <w:bottom w:type="dxa" w:w="100"/>
              <w:right w:type="dxa" w:w="140"/>
            </w:tcMar>
            <w:vAlign w:val="center"/>
          </w:tcPr>
          <w:p>
            <w:pPr>
              <w:jc w:val="center"/>
            </w:pPr>
            <w:r>
              <w:rPr>
                <w:rFonts w:ascii="Arial" w:cs="Arial" w:eastAsia="Arial" w:hAnsi="Arial"/>
                <w:b/>
                <w:bCs/>
                <w:color w:val="375623"/>
                <w:sz w:val="18"/>
                <w:szCs w:val="18"/>
              </w:rPr>
              <w:t xml:space="preserve">OPEN</w:t>
            </w:r>
          </w:p>
        </w:tc>
        <w:tc>
          <w:tcPr>
            <w:tcW w:type="dxa" w:w="5160"/>
            <w:tcBorders>
              <w:top w:val="single" w:color="BFBFBF" w:sz="1"/>
              <w:left w:val="single" w:color="BFBFBF" w:sz="1"/>
              <w:bottom w:val="single" w:color="BFBFBF" w:sz="1"/>
              <w:right w:val="single" w:color="BFBFBF" w:sz="1"/>
            </w:tcBorders>
            <w:shd w:fill="E2EFDA"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17"/>
                <w:szCs w:val="17"/>
              </w:rPr>
              <w:t xml:space="preserve">These countries have no active enforcement against offshore exchanges. Users can access our platform organically. You can publish English-language content that reaches them — you cannot run targeted adverts at them specifically.</w:t>
            </w:r>
          </w:p>
        </w:tc>
      </w:tr>
      <w:tr>
        <w:tc>
          <w:tcPr>
            <w:tcW w:type="dxa" w:w="2600"/>
            <w:tcBorders>
              <w:top w:val="single" w:color="BFBFBF" w:sz="1"/>
              <w:left w:val="single" w:color="BFBFBF" w:sz="1"/>
              <w:bottom w:val="single" w:color="BFBFBF" w:sz="1"/>
              <w:right w:val="single" w:color="BFBFBF" w:sz="1"/>
            </w:tcBorders>
            <w:shd w:fill="E2EFDA" w:val="clear"/>
            <w:tcMar>
              <w:top w:type="dxa" w:w="100"/>
              <w:left w:type="dxa" w:w="140"/>
              <w:bottom w:type="dxa" w:w="100"/>
              <w:right w:type="dxa" w:w="140"/>
            </w:tcMar>
            <w:vAlign w:val="center"/>
          </w:tcPr>
          <w:p>
            <w:pPr>
              <w:jc w:val="left"/>
            </w:pPr>
            <w:r>
              <w:rPr>
                <w:rFonts w:ascii="Arial" w:cs="Arial" w:eastAsia="Arial" w:hAnsi="Arial"/>
                <w:b/>
                <w:bCs/>
                <w:color w:val="404040"/>
                <w:sz w:val="18"/>
                <w:szCs w:val="18"/>
              </w:rPr>
              <w:t xml:space="preserve">Most of Latin America (outside El Salvador)</w:t>
            </w:r>
          </w:p>
        </w:tc>
        <w:tc>
          <w:tcPr>
            <w:tcW w:type="dxa" w:w="1600"/>
            <w:tcBorders>
              <w:top w:val="single" w:color="BFBFBF" w:sz="1"/>
              <w:left w:val="single" w:color="BFBFBF" w:sz="1"/>
              <w:bottom w:val="single" w:color="BFBFBF" w:sz="1"/>
              <w:right w:val="single" w:color="BFBFBF" w:sz="1"/>
            </w:tcBorders>
            <w:shd w:fill="E2EFDA" w:val="clear"/>
            <w:tcMar>
              <w:top w:type="dxa" w:w="100"/>
              <w:left w:type="dxa" w:w="140"/>
              <w:bottom w:type="dxa" w:w="100"/>
              <w:right w:type="dxa" w:w="140"/>
            </w:tcMar>
            <w:vAlign w:val="center"/>
          </w:tcPr>
          <w:p>
            <w:pPr>
              <w:jc w:val="center"/>
            </w:pPr>
            <w:r>
              <w:rPr>
                <w:rFonts w:ascii="Arial" w:cs="Arial" w:eastAsia="Arial" w:hAnsi="Arial"/>
                <w:b/>
                <w:bCs/>
                <w:color w:val="375623"/>
                <w:sz w:val="18"/>
                <w:szCs w:val="18"/>
              </w:rPr>
              <w:t xml:space="preserve">OPEN</w:t>
            </w:r>
          </w:p>
        </w:tc>
        <w:tc>
          <w:tcPr>
            <w:tcW w:type="dxa" w:w="5160"/>
            <w:tcBorders>
              <w:top w:val="single" w:color="BFBFBF" w:sz="1"/>
              <w:left w:val="single" w:color="BFBFBF" w:sz="1"/>
              <w:bottom w:val="single" w:color="BFBFBF" w:sz="1"/>
              <w:right w:val="single" w:color="BFBFBF" w:sz="1"/>
            </w:tcBorders>
            <w:shd w:fill="E2EFDA"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17"/>
                <w:szCs w:val="17"/>
              </w:rPr>
              <w:t xml:space="preserve">Same position as Sub-Saharan Africa. Organic access is fine. Do not name specific countries in campaigns.</w:t>
            </w:r>
          </w:p>
        </w:tc>
      </w:tr>
      <w:tr>
        <w:tc>
          <w:tcPr>
            <w:tcW w:type="dxa" w:w="2600"/>
            <w:tcBorders>
              <w:top w:val="single" w:color="BFBFBF" w:sz="1"/>
              <w:left w:val="single" w:color="BFBFBF" w:sz="1"/>
              <w:bottom w:val="single" w:color="BFBFBF" w:sz="1"/>
              <w:right w:val="single" w:color="BFBFBF" w:sz="1"/>
            </w:tcBorders>
            <w:shd w:fill="E2EFDA" w:val="clear"/>
            <w:tcMar>
              <w:top w:type="dxa" w:w="100"/>
              <w:left w:type="dxa" w:w="140"/>
              <w:bottom w:type="dxa" w:w="100"/>
              <w:right w:type="dxa" w:w="140"/>
            </w:tcMar>
            <w:vAlign w:val="center"/>
          </w:tcPr>
          <w:p>
            <w:pPr>
              <w:jc w:val="left"/>
            </w:pPr>
            <w:r>
              <w:rPr>
                <w:rFonts w:ascii="Arial" w:cs="Arial" w:eastAsia="Arial" w:hAnsi="Arial"/>
                <w:b/>
                <w:bCs/>
                <w:color w:val="404040"/>
                <w:sz w:val="18"/>
                <w:szCs w:val="18"/>
              </w:rPr>
              <w:t xml:space="preserve">Most of Central and South Asia (excluding regulated markets)</w:t>
            </w:r>
          </w:p>
        </w:tc>
        <w:tc>
          <w:tcPr>
            <w:tcW w:type="dxa" w:w="1600"/>
            <w:tcBorders>
              <w:top w:val="single" w:color="BFBFBF" w:sz="1"/>
              <w:left w:val="single" w:color="BFBFBF" w:sz="1"/>
              <w:bottom w:val="single" w:color="BFBFBF" w:sz="1"/>
              <w:right w:val="single" w:color="BFBFBF" w:sz="1"/>
            </w:tcBorders>
            <w:shd w:fill="E2EFDA" w:val="clear"/>
            <w:tcMar>
              <w:top w:type="dxa" w:w="100"/>
              <w:left w:type="dxa" w:w="140"/>
              <w:bottom w:type="dxa" w:w="100"/>
              <w:right w:type="dxa" w:w="140"/>
            </w:tcMar>
            <w:vAlign w:val="center"/>
          </w:tcPr>
          <w:p>
            <w:pPr>
              <w:jc w:val="center"/>
            </w:pPr>
            <w:r>
              <w:rPr>
                <w:rFonts w:ascii="Arial" w:cs="Arial" w:eastAsia="Arial" w:hAnsi="Arial"/>
                <w:b/>
                <w:bCs/>
                <w:color w:val="375623"/>
                <w:sz w:val="18"/>
                <w:szCs w:val="18"/>
              </w:rPr>
              <w:t xml:space="preserve">OPEN</w:t>
            </w:r>
          </w:p>
        </w:tc>
        <w:tc>
          <w:tcPr>
            <w:tcW w:type="dxa" w:w="5160"/>
            <w:tcBorders>
              <w:top w:val="single" w:color="BFBFBF" w:sz="1"/>
              <w:left w:val="single" w:color="BFBFBF" w:sz="1"/>
              <w:bottom w:val="single" w:color="BFBFBF" w:sz="1"/>
              <w:right w:val="single" w:color="BFBFBF" w:sz="1"/>
            </w:tcBorders>
            <w:shd w:fill="E2EFDA"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17"/>
                <w:szCs w:val="17"/>
              </w:rPr>
              <w:t xml:space="preserve">Organic access permitted. English content that reaches these audiences is fine. No country-specific targeting.</w:t>
            </w:r>
          </w:p>
        </w:tc>
      </w:tr>
      <w:tr>
        <w:tc>
          <w:tcPr>
            <w:tcW w:type="dxa" w:w="2600"/>
            <w:tcBorders>
              <w:top w:val="single" w:color="BFBFBF" w:sz="1"/>
              <w:left w:val="single" w:color="BFBFBF" w:sz="1"/>
              <w:bottom w:val="single" w:color="BFBFBF" w:sz="1"/>
              <w:right w:val="single" w:color="BFBFBF" w:sz="1"/>
            </w:tcBorders>
            <w:shd w:fill="FFF2CC" w:val="clear"/>
            <w:tcMar>
              <w:top w:type="dxa" w:w="100"/>
              <w:left w:type="dxa" w:w="140"/>
              <w:bottom w:type="dxa" w:w="100"/>
              <w:right w:type="dxa" w:w="140"/>
            </w:tcMar>
            <w:vAlign w:val="center"/>
          </w:tcPr>
          <w:p>
            <w:pPr>
              <w:jc w:val="left"/>
            </w:pPr>
            <w:r>
              <w:rPr>
                <w:rFonts w:ascii="Arial" w:cs="Arial" w:eastAsia="Arial" w:hAnsi="Arial"/>
                <w:b/>
                <w:bCs/>
                <w:color w:val="404040"/>
                <w:sz w:val="18"/>
                <w:szCs w:val="18"/>
              </w:rPr>
              <w:t xml:space="preserve">Pakistan</w:t>
            </w:r>
          </w:p>
        </w:tc>
        <w:tc>
          <w:tcPr>
            <w:tcW w:type="dxa" w:w="1600"/>
            <w:tcBorders>
              <w:top w:val="single" w:color="BFBFBF" w:sz="1"/>
              <w:left w:val="single" w:color="BFBFBF" w:sz="1"/>
              <w:bottom w:val="single" w:color="BFBFBF" w:sz="1"/>
              <w:right w:val="single" w:color="BFBFBF" w:sz="1"/>
            </w:tcBorders>
            <w:shd w:fill="FFF2CC" w:val="clear"/>
            <w:tcMar>
              <w:top w:type="dxa" w:w="100"/>
              <w:left w:type="dxa" w:w="140"/>
              <w:bottom w:type="dxa" w:w="100"/>
              <w:right w:type="dxa" w:w="140"/>
            </w:tcMar>
            <w:vAlign w:val="center"/>
          </w:tcPr>
          <w:p>
            <w:pPr>
              <w:jc w:val="center"/>
            </w:pPr>
            <w:r>
              <w:rPr>
                <w:rFonts w:ascii="Arial" w:cs="Arial" w:eastAsia="Arial" w:hAnsi="Arial"/>
                <w:b/>
                <w:bCs/>
                <w:color w:val="B06000"/>
                <w:sz w:val="18"/>
                <w:szCs w:val="18"/>
              </w:rPr>
              <w:t xml:space="preserve">CAUTION</w:t>
            </w:r>
          </w:p>
        </w:tc>
        <w:tc>
          <w:tcPr>
            <w:tcW w:type="dxa" w:w="5160"/>
            <w:tcBorders>
              <w:top w:val="single" w:color="BFBFBF" w:sz="1"/>
              <w:left w:val="single" w:color="BFBFBF" w:sz="1"/>
              <w:bottom w:val="single" w:color="BFBFBF" w:sz="1"/>
              <w:right w:val="single" w:color="BFBFBF" w:sz="1"/>
            </w:tcBorders>
            <w:shd w:fill="FFF2CC"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17"/>
                <w:szCs w:val="17"/>
              </w:rPr>
              <w:t xml:space="preserve">We are in the process of obtaining a Pakistani licence. Do not say Pakistani users can use Fuutura yet. You can describe Pakistan as part of the problem Fuutura was built to solve. When the licence is granted, this changes.</w:t>
            </w:r>
          </w:p>
        </w:tc>
      </w:tr>
      <w:tr>
        <w:tc>
          <w:tcPr>
            <w:tcW w:type="dxa" w:w="2600"/>
            <w:tcBorders>
              <w:top w:val="single" w:color="BFBFBF" w:sz="1"/>
              <w:left w:val="single" w:color="BFBFBF" w:sz="1"/>
              <w:bottom w:val="single" w:color="BFBFBF" w:sz="1"/>
              <w:right w:val="single" w:color="BFBFBF" w:sz="1"/>
            </w:tcBorders>
            <w:shd w:fill="FFF2CC" w:val="clear"/>
            <w:tcMar>
              <w:top w:type="dxa" w:w="100"/>
              <w:left w:type="dxa" w:w="140"/>
              <w:bottom w:type="dxa" w:w="100"/>
              <w:right w:type="dxa" w:w="140"/>
            </w:tcMar>
            <w:vAlign w:val="center"/>
          </w:tcPr>
          <w:p>
            <w:pPr>
              <w:jc w:val="left"/>
            </w:pPr>
            <w:r>
              <w:rPr>
                <w:rFonts w:ascii="Arial" w:cs="Arial" w:eastAsia="Arial" w:hAnsi="Arial"/>
                <w:b/>
                <w:bCs/>
                <w:color w:val="404040"/>
                <w:sz w:val="18"/>
                <w:szCs w:val="18"/>
              </w:rPr>
              <w:t xml:space="preserve">United Arab Emirates</w:t>
            </w:r>
          </w:p>
        </w:tc>
        <w:tc>
          <w:tcPr>
            <w:tcW w:type="dxa" w:w="1600"/>
            <w:tcBorders>
              <w:top w:val="single" w:color="BFBFBF" w:sz="1"/>
              <w:left w:val="single" w:color="BFBFBF" w:sz="1"/>
              <w:bottom w:val="single" w:color="BFBFBF" w:sz="1"/>
              <w:right w:val="single" w:color="BFBFBF" w:sz="1"/>
            </w:tcBorders>
            <w:shd w:fill="FFF2CC" w:val="clear"/>
            <w:tcMar>
              <w:top w:type="dxa" w:w="100"/>
              <w:left w:type="dxa" w:w="140"/>
              <w:bottom w:type="dxa" w:w="100"/>
              <w:right w:type="dxa" w:w="140"/>
            </w:tcMar>
            <w:vAlign w:val="center"/>
          </w:tcPr>
          <w:p>
            <w:pPr>
              <w:jc w:val="center"/>
            </w:pPr>
            <w:r>
              <w:rPr>
                <w:rFonts w:ascii="Arial" w:cs="Arial" w:eastAsia="Arial" w:hAnsi="Arial"/>
                <w:b/>
                <w:bCs/>
                <w:color w:val="B06000"/>
                <w:sz w:val="18"/>
                <w:szCs w:val="18"/>
              </w:rPr>
              <w:t xml:space="preserve">CAUTION</w:t>
            </w:r>
          </w:p>
        </w:tc>
        <w:tc>
          <w:tcPr>
            <w:tcW w:type="dxa" w:w="5160"/>
            <w:tcBorders>
              <w:top w:val="single" w:color="BFBFBF" w:sz="1"/>
              <w:left w:val="single" w:color="BFBFBF" w:sz="1"/>
              <w:bottom w:val="single" w:color="BFBFBF" w:sz="1"/>
              <w:right w:val="single" w:color="BFBFBF" w:sz="1"/>
            </w:tcBorders>
            <w:shd w:fill="FFF2CC"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17"/>
                <w:szCs w:val="17"/>
              </w:rPr>
              <w:t xml:space="preserve">We are pursuing a UAE licence. Do not market to UAE users yet. Do not name the UAE as a current user market.</w:t>
            </w:r>
          </w:p>
        </w:tc>
      </w:tr>
      <w:tr>
        <w:tc>
          <w:tcPr>
            <w:tcW w:type="dxa" w:w="2600"/>
            <w:tcBorders>
              <w:top w:val="single" w:color="BFBFBF" w:sz="1"/>
              <w:left w:val="single" w:color="BFBFBF" w:sz="1"/>
              <w:bottom w:val="single" w:color="BFBFBF" w:sz="1"/>
              <w:right w:val="single" w:color="BFBFBF" w:sz="1"/>
            </w:tcBorders>
            <w:shd w:fill="FCE4E4" w:val="clear"/>
            <w:tcMar>
              <w:top w:type="dxa" w:w="100"/>
              <w:left w:type="dxa" w:w="140"/>
              <w:bottom w:type="dxa" w:w="100"/>
              <w:right w:type="dxa" w:w="140"/>
            </w:tcMar>
            <w:vAlign w:val="center"/>
          </w:tcPr>
          <w:p>
            <w:pPr>
              <w:jc w:val="left"/>
            </w:pPr>
            <w:r>
              <w:rPr>
                <w:rFonts w:ascii="Arial" w:cs="Arial" w:eastAsia="Arial" w:hAnsi="Arial"/>
                <w:b/>
                <w:bCs/>
                <w:color w:val="404040"/>
                <w:sz w:val="18"/>
                <w:szCs w:val="18"/>
              </w:rPr>
              <w:t xml:space="preserve">United Kingdom</w:t>
            </w:r>
          </w:p>
        </w:tc>
        <w:tc>
          <w:tcPr>
            <w:tcW w:type="dxa" w:w="1600"/>
            <w:tcBorders>
              <w:top w:val="single" w:color="BFBFBF" w:sz="1"/>
              <w:left w:val="single" w:color="BFBFBF" w:sz="1"/>
              <w:bottom w:val="single" w:color="BFBFBF" w:sz="1"/>
              <w:right w:val="single" w:color="BFBFBF" w:sz="1"/>
            </w:tcBorders>
            <w:shd w:fill="FCE4E4" w:val="clear"/>
            <w:tcMar>
              <w:top w:type="dxa" w:w="100"/>
              <w:left w:type="dxa" w:w="140"/>
              <w:bottom w:type="dxa" w:w="100"/>
              <w:right w:type="dxa" w:w="140"/>
            </w:tcMar>
            <w:vAlign w:val="center"/>
          </w:tcPr>
          <w:p>
            <w:pPr>
              <w:jc w:val="center"/>
            </w:pPr>
            <w:r>
              <w:rPr>
                <w:rFonts w:ascii="Arial" w:cs="Arial" w:eastAsia="Arial" w:hAnsi="Arial"/>
                <w:b/>
                <w:bCs/>
                <w:color w:val="C00000"/>
                <w:sz w:val="18"/>
                <w:szCs w:val="18"/>
              </w:rPr>
              <w:t xml:space="preserve">BLOCKED</w:t>
            </w:r>
          </w:p>
        </w:tc>
        <w:tc>
          <w:tcPr>
            <w:tcW w:type="dxa" w:w="5160"/>
            <w:tcBorders>
              <w:top w:val="single" w:color="BFBFBF" w:sz="1"/>
              <w:left w:val="single" w:color="BFBFBF" w:sz="1"/>
              <w:bottom w:val="single" w:color="BFBFBF" w:sz="1"/>
              <w:right w:val="single" w:color="BFBFBF" w:sz="1"/>
            </w:tcBorders>
            <w:shd w:fill="FCE4E4"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17"/>
                <w:szCs w:val="17"/>
              </w:rPr>
              <w:t xml:space="preserve">UK financial regulations actively prohibit unlicensed crypto promotions to UK residents. Our platform is blocked for UK users. Do not publish any content directed at UK users, and do not run any campaigns that could reach them specifically.</w:t>
            </w:r>
          </w:p>
        </w:tc>
      </w:tr>
      <w:tr>
        <w:tc>
          <w:tcPr>
            <w:tcW w:type="dxa" w:w="2600"/>
            <w:tcBorders>
              <w:top w:val="single" w:color="BFBFBF" w:sz="1"/>
              <w:left w:val="single" w:color="BFBFBF" w:sz="1"/>
              <w:bottom w:val="single" w:color="BFBFBF" w:sz="1"/>
              <w:right w:val="single" w:color="BFBFBF" w:sz="1"/>
            </w:tcBorders>
            <w:shd w:fill="FCE4E4" w:val="clear"/>
            <w:tcMar>
              <w:top w:type="dxa" w:w="100"/>
              <w:left w:type="dxa" w:w="140"/>
              <w:bottom w:type="dxa" w:w="100"/>
              <w:right w:type="dxa" w:w="140"/>
            </w:tcMar>
            <w:vAlign w:val="center"/>
          </w:tcPr>
          <w:p>
            <w:pPr>
              <w:jc w:val="left"/>
            </w:pPr>
            <w:r>
              <w:rPr>
                <w:rFonts w:ascii="Arial" w:cs="Arial" w:eastAsia="Arial" w:hAnsi="Arial"/>
                <w:b/>
                <w:bCs/>
                <w:color w:val="404040"/>
                <w:sz w:val="18"/>
                <w:szCs w:val="18"/>
              </w:rPr>
              <w:t xml:space="preserve">European Union (all 27 countries)</w:t>
            </w:r>
          </w:p>
        </w:tc>
        <w:tc>
          <w:tcPr>
            <w:tcW w:type="dxa" w:w="1600"/>
            <w:tcBorders>
              <w:top w:val="single" w:color="BFBFBF" w:sz="1"/>
              <w:left w:val="single" w:color="BFBFBF" w:sz="1"/>
              <w:bottom w:val="single" w:color="BFBFBF" w:sz="1"/>
              <w:right w:val="single" w:color="BFBFBF" w:sz="1"/>
            </w:tcBorders>
            <w:shd w:fill="FCE4E4" w:val="clear"/>
            <w:tcMar>
              <w:top w:type="dxa" w:w="100"/>
              <w:left w:type="dxa" w:w="140"/>
              <w:bottom w:type="dxa" w:w="100"/>
              <w:right w:type="dxa" w:w="140"/>
            </w:tcMar>
            <w:vAlign w:val="center"/>
          </w:tcPr>
          <w:p>
            <w:pPr>
              <w:jc w:val="center"/>
            </w:pPr>
            <w:r>
              <w:rPr>
                <w:rFonts w:ascii="Arial" w:cs="Arial" w:eastAsia="Arial" w:hAnsi="Arial"/>
                <w:b/>
                <w:bCs/>
                <w:color w:val="C00000"/>
                <w:sz w:val="18"/>
                <w:szCs w:val="18"/>
              </w:rPr>
              <w:t xml:space="preserve">BLOCKED</w:t>
            </w:r>
          </w:p>
        </w:tc>
        <w:tc>
          <w:tcPr>
            <w:tcW w:type="dxa" w:w="5160"/>
            <w:tcBorders>
              <w:top w:val="single" w:color="BFBFBF" w:sz="1"/>
              <w:left w:val="single" w:color="BFBFBF" w:sz="1"/>
              <w:bottom w:val="single" w:color="BFBFBF" w:sz="1"/>
              <w:right w:val="single" w:color="BFBFBF" w:sz="1"/>
            </w:tcBorders>
            <w:shd w:fill="FCE4E4"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17"/>
                <w:szCs w:val="17"/>
              </w:rPr>
              <w:t xml:space="preserve">European regulations (known as MiCA) require a specific European licence. We do not hold one. Platform blocked for EU users. No EU-directed content.</w:t>
            </w:r>
          </w:p>
        </w:tc>
      </w:tr>
      <w:tr>
        <w:tc>
          <w:tcPr>
            <w:tcW w:type="dxa" w:w="2600"/>
            <w:tcBorders>
              <w:top w:val="single" w:color="BFBFBF" w:sz="1"/>
              <w:left w:val="single" w:color="BFBFBF" w:sz="1"/>
              <w:bottom w:val="single" w:color="BFBFBF" w:sz="1"/>
              <w:right w:val="single" w:color="BFBFBF" w:sz="1"/>
            </w:tcBorders>
            <w:shd w:fill="FCE4E4" w:val="clear"/>
            <w:tcMar>
              <w:top w:type="dxa" w:w="100"/>
              <w:left w:type="dxa" w:w="140"/>
              <w:bottom w:type="dxa" w:w="100"/>
              <w:right w:type="dxa" w:w="140"/>
            </w:tcMar>
            <w:vAlign w:val="center"/>
          </w:tcPr>
          <w:p>
            <w:pPr>
              <w:jc w:val="left"/>
            </w:pPr>
            <w:r>
              <w:rPr>
                <w:rFonts w:ascii="Arial" w:cs="Arial" w:eastAsia="Arial" w:hAnsi="Arial"/>
                <w:b/>
                <w:bCs/>
                <w:color w:val="404040"/>
                <w:sz w:val="18"/>
                <w:szCs w:val="18"/>
              </w:rPr>
              <w:t xml:space="preserve">United States</w:t>
            </w:r>
          </w:p>
        </w:tc>
        <w:tc>
          <w:tcPr>
            <w:tcW w:type="dxa" w:w="1600"/>
            <w:tcBorders>
              <w:top w:val="single" w:color="BFBFBF" w:sz="1"/>
              <w:left w:val="single" w:color="BFBFBF" w:sz="1"/>
              <w:bottom w:val="single" w:color="BFBFBF" w:sz="1"/>
              <w:right w:val="single" w:color="BFBFBF" w:sz="1"/>
            </w:tcBorders>
            <w:shd w:fill="FCE4E4" w:val="clear"/>
            <w:tcMar>
              <w:top w:type="dxa" w:w="100"/>
              <w:left w:type="dxa" w:w="140"/>
              <w:bottom w:type="dxa" w:w="100"/>
              <w:right w:type="dxa" w:w="140"/>
            </w:tcMar>
            <w:vAlign w:val="center"/>
          </w:tcPr>
          <w:p>
            <w:pPr>
              <w:jc w:val="center"/>
            </w:pPr>
            <w:r>
              <w:rPr>
                <w:rFonts w:ascii="Arial" w:cs="Arial" w:eastAsia="Arial" w:hAnsi="Arial"/>
                <w:b/>
                <w:bCs/>
                <w:color w:val="C00000"/>
                <w:sz w:val="18"/>
                <w:szCs w:val="18"/>
              </w:rPr>
              <w:t xml:space="preserve">BLOCKED</w:t>
            </w:r>
          </w:p>
        </w:tc>
        <w:tc>
          <w:tcPr>
            <w:tcW w:type="dxa" w:w="5160"/>
            <w:tcBorders>
              <w:top w:val="single" w:color="BFBFBF" w:sz="1"/>
              <w:left w:val="single" w:color="BFBFBF" w:sz="1"/>
              <w:bottom w:val="single" w:color="BFBFBF" w:sz="1"/>
              <w:right w:val="single" w:color="BFBFBF" w:sz="1"/>
            </w:tcBorders>
            <w:shd w:fill="FCE4E4"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17"/>
                <w:szCs w:val="17"/>
              </w:rPr>
              <w:t xml:space="preserve">US financial regulators take an aggressive enforcement approach to crypto. Platform blocked for US users. No US-directed content of any kind at any stage without specific US regulatory clearance.</w:t>
            </w:r>
          </w:p>
        </w:tc>
      </w:tr>
    </w:tbl>
    <w:p>
      <w:pPr>
        <w:pBdr>
          <w:bottom w:val="single" w:color="DDDDDD" w:sz="4" w:space="1"/>
        </w:pBdr>
        <w:spacing w:before="180" w:after="180"/>
      </w:pPr>
      <w:r>
        <w:t xml:space="preserve"/>
      </w:r>
    </w:p>
    <w:p>
      <w:pPr>
        <w:pStyle w:val="Heading1"/>
        <w:spacing w:before="400" w:after="140"/>
      </w:pPr>
      <w:r>
        <w:rPr>
          <w:rFonts w:ascii="Arial" w:cs="Arial" w:eastAsia="Arial" w:hAnsi="Arial"/>
          <w:b/>
          <w:bCs/>
          <w:color w:val="1A1A2E"/>
          <w:sz w:val="30"/>
          <w:szCs w:val="30"/>
        </w:rPr>
        <w:t xml:space="preserve">8. Quick Reference — Yes or No?</w:t>
      </w:r>
    </w:p>
    <w:p>
      <w:pPr>
        <w:spacing w:before="60" w:after="90"/>
      </w:pPr>
      <w:r>
        <w:rPr>
          <w:rFonts w:ascii="Arial" w:cs="Arial" w:eastAsia="Arial" w:hAnsi="Arial"/>
          <w:color w:val="404040"/>
          <w:sz w:val="22"/>
          <w:szCs w:val="22"/>
        </w:rPr>
        <w:t xml:space="preserve">Use this table to check any activity before you proceed. If something is not on this list, ask Legal.</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2000"/>
        <w:gridCol w:w="2000"/>
      </w:tblGrid>
      <w:tr>
        <w:trPr>
          <w:tblHeader/>
        </w:trPr>
        <w:tc>
          <w:tcPr>
            <w:tcW w:type="dxa" w:w="5360"/>
            <w:tcBorders>
              <w:top w:val="single" w:color="BFBFBF" w:sz="1"/>
              <w:left w:val="single" w:color="BFBFBF" w:sz="1"/>
              <w:bottom w:val="single" w:color="BFBFBF" w:sz="1"/>
              <w:right w:val="single" w:color="BFBFBF" w:sz="1"/>
            </w:tcBorders>
            <w:shd w:fill="1A1A2E" w:val="clear"/>
            <w:tcMar>
              <w:top w:type="dxa" w:w="110"/>
              <w:left w:type="dxa" w:w="140"/>
              <w:bottom w:type="dxa" w:w="110"/>
              <w:right w:type="dxa" w:w="140"/>
            </w:tcMar>
          </w:tcPr>
          <w:p>
            <w:r>
              <w:rPr>
                <w:rFonts w:ascii="Arial" w:cs="Arial" w:eastAsia="Arial" w:hAnsi="Arial"/>
                <w:b/>
                <w:bCs/>
                <w:color w:val="FFFFFF"/>
                <w:sz w:val="19"/>
                <w:szCs w:val="19"/>
              </w:rPr>
              <w:t xml:space="preserve">Activity / Message</w:t>
            </w:r>
          </w:p>
        </w:tc>
        <w:tc>
          <w:tcPr>
            <w:tcW w:type="dxa" w:w="2000"/>
            <w:tcBorders>
              <w:top w:val="single" w:color="BFBFBF" w:sz="1"/>
              <w:left w:val="single" w:color="BFBFBF" w:sz="1"/>
              <w:bottom w:val="single" w:color="BFBFBF" w:sz="1"/>
              <w:right w:val="single" w:color="BFBFBF" w:sz="1"/>
            </w:tcBorders>
            <w:shd w:fill="1F4E79" w:val="clear"/>
            <w:tcMar>
              <w:top w:type="dxa" w:w="110"/>
              <w:left w:type="dxa" w:w="80"/>
              <w:bottom w:type="dxa" w:w="110"/>
              <w:right w:type="dxa" w:w="80"/>
            </w:tcMar>
          </w:tcPr>
          <w:p>
            <w:pPr>
              <w:jc w:val="center"/>
            </w:pPr>
            <w:r>
              <w:rPr>
                <w:rFonts w:ascii="Arial" w:cs="Arial" w:eastAsia="Arial" w:hAnsi="Arial"/>
                <w:b/>
                <w:bCs/>
                <w:color w:val="FFFFFF"/>
                <w:sz w:val="17"/>
                <w:szCs w:val="17"/>
              </w:rPr>
              <w:t xml:space="preserve">STAGE 1</w:t>
            </w:r>
          </w:p>
        </w:tc>
        <w:tc>
          <w:tcPr>
            <w:tcW w:type="dxa" w:w="2000"/>
            <w:tcBorders>
              <w:top w:val="single" w:color="BFBFBF" w:sz="1"/>
              <w:left w:val="single" w:color="BFBFBF" w:sz="1"/>
              <w:bottom w:val="single" w:color="BFBFBF" w:sz="1"/>
              <w:right w:val="single" w:color="BFBFBF" w:sz="1"/>
            </w:tcBorders>
            <w:shd w:fill="1D6B5E" w:val="clear"/>
            <w:tcMar>
              <w:top w:type="dxa" w:w="110"/>
              <w:left w:type="dxa" w:w="80"/>
              <w:bottom w:type="dxa" w:w="110"/>
              <w:right w:type="dxa" w:w="80"/>
            </w:tcMar>
          </w:tcPr>
          <w:p>
            <w:pPr>
              <w:jc w:val="center"/>
            </w:pPr>
            <w:r>
              <w:rPr>
                <w:rFonts w:ascii="Arial" w:cs="Arial" w:eastAsia="Arial" w:hAnsi="Arial"/>
                <w:b/>
                <w:bCs/>
                <w:color w:val="FFFFFF"/>
                <w:sz w:val="17"/>
                <w:szCs w:val="17"/>
              </w:rPr>
              <w:t xml:space="preserve">STAGE 2</w:t>
            </w:r>
          </w:p>
        </w:tc>
      </w:tr>
      <w:tr>
        <w:tc>
          <w:tcPr>
            <w:tcW w:type="dxa" w:w="536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color w:val="404040"/>
                <w:sz w:val="19"/>
                <w:szCs w:val="19"/>
              </w:rPr>
              <w:t xml:space="preserve">Press release about our Bitcoin exchange licence (English, global wire)</w:t>
            </w:r>
          </w:p>
        </w:tc>
        <w:tc>
          <w:tcPr>
            <w:tcW w:type="dxa" w:w="2000"/>
            <w:tcBorders>
              <w:top w:val="single" w:color="BFBFBF" w:sz="1"/>
              <w:left w:val="single" w:color="BFBFBF" w:sz="1"/>
              <w:bottom w:val="single" w:color="BFBFBF" w:sz="1"/>
              <w:right w:val="single" w:color="BFBFBF" w:sz="1"/>
            </w:tcBorders>
            <w:shd w:fill="E2EFDA" w:val="clear"/>
            <w:tcMar>
              <w:top w:type="dxa" w:w="90"/>
              <w:left w:type="dxa" w:w="80"/>
              <w:bottom w:type="dxa" w:w="90"/>
              <w:right w:type="dxa" w:w="80"/>
            </w:tcMar>
            <w:vAlign w:val="center"/>
          </w:tcPr>
          <w:p>
            <w:pPr>
              <w:jc w:val="center"/>
            </w:pPr>
            <w:r>
              <w:rPr>
                <w:rFonts w:ascii="Arial" w:cs="Arial" w:eastAsia="Arial" w:hAnsi="Arial"/>
                <w:b/>
                <w:bCs/>
                <w:color w:val="375623"/>
                <w:sz w:val="19"/>
                <w:szCs w:val="19"/>
              </w:rPr>
              <w:t xml:space="preserve">YES</w:t>
            </w:r>
          </w:p>
        </w:tc>
        <w:tc>
          <w:tcPr>
            <w:tcW w:type="dxa" w:w="2000"/>
            <w:tcBorders>
              <w:top w:val="single" w:color="BFBFBF" w:sz="1"/>
              <w:left w:val="single" w:color="BFBFBF" w:sz="1"/>
              <w:bottom w:val="single" w:color="BFBFBF" w:sz="1"/>
              <w:right w:val="single" w:color="BFBFBF" w:sz="1"/>
            </w:tcBorders>
            <w:shd w:fill="E2EFDA" w:val="clear"/>
            <w:tcMar>
              <w:top w:type="dxa" w:w="90"/>
              <w:left w:type="dxa" w:w="80"/>
              <w:bottom w:type="dxa" w:w="90"/>
              <w:right w:type="dxa" w:w="80"/>
            </w:tcMar>
            <w:vAlign w:val="center"/>
          </w:tcPr>
          <w:p>
            <w:pPr>
              <w:jc w:val="center"/>
            </w:pPr>
            <w:r>
              <w:rPr>
                <w:rFonts w:ascii="Arial" w:cs="Arial" w:eastAsia="Arial" w:hAnsi="Arial"/>
                <w:b/>
                <w:bCs/>
                <w:color w:val="375623"/>
                <w:sz w:val="19"/>
                <w:szCs w:val="19"/>
              </w:rPr>
              <w:t xml:space="preserve">YES</w:t>
            </w:r>
          </w:p>
        </w:tc>
      </w:tr>
      <w:tr>
        <w:tc>
          <w:tcPr>
            <w:tcW w:type="dxa" w:w="536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color w:val="404040"/>
                <w:sz w:val="19"/>
                <w:szCs w:val="19"/>
              </w:rPr>
              <w:t xml:space="preserve">Press release describing Fuutura's Global South mission (English, no country named as current market)</w:t>
            </w:r>
          </w:p>
        </w:tc>
        <w:tc>
          <w:tcPr>
            <w:tcW w:type="dxa" w:w="2000"/>
            <w:tcBorders>
              <w:top w:val="single" w:color="BFBFBF" w:sz="1"/>
              <w:left w:val="single" w:color="BFBFBF" w:sz="1"/>
              <w:bottom w:val="single" w:color="BFBFBF" w:sz="1"/>
              <w:right w:val="single" w:color="BFBFBF" w:sz="1"/>
            </w:tcBorders>
            <w:shd w:fill="E2EFDA" w:val="clear"/>
            <w:tcMar>
              <w:top w:type="dxa" w:w="90"/>
              <w:left w:type="dxa" w:w="80"/>
              <w:bottom w:type="dxa" w:w="90"/>
              <w:right w:type="dxa" w:w="80"/>
            </w:tcMar>
            <w:vAlign w:val="center"/>
          </w:tcPr>
          <w:p>
            <w:pPr>
              <w:jc w:val="center"/>
            </w:pPr>
            <w:r>
              <w:rPr>
                <w:rFonts w:ascii="Arial" w:cs="Arial" w:eastAsia="Arial" w:hAnsi="Arial"/>
                <w:b/>
                <w:bCs/>
                <w:color w:val="375623"/>
                <w:sz w:val="19"/>
                <w:szCs w:val="19"/>
              </w:rPr>
              <w:t xml:space="preserve">YES</w:t>
            </w:r>
          </w:p>
        </w:tc>
        <w:tc>
          <w:tcPr>
            <w:tcW w:type="dxa" w:w="2000"/>
            <w:tcBorders>
              <w:top w:val="single" w:color="BFBFBF" w:sz="1"/>
              <w:left w:val="single" w:color="BFBFBF" w:sz="1"/>
              <w:bottom w:val="single" w:color="BFBFBF" w:sz="1"/>
              <w:right w:val="single" w:color="BFBFBF" w:sz="1"/>
            </w:tcBorders>
            <w:shd w:fill="E2EFDA" w:val="clear"/>
            <w:tcMar>
              <w:top w:type="dxa" w:w="90"/>
              <w:left w:type="dxa" w:w="80"/>
              <w:bottom w:type="dxa" w:w="90"/>
              <w:right w:type="dxa" w:w="80"/>
            </w:tcMar>
            <w:vAlign w:val="center"/>
          </w:tcPr>
          <w:p>
            <w:pPr>
              <w:jc w:val="center"/>
            </w:pPr>
            <w:r>
              <w:rPr>
                <w:rFonts w:ascii="Arial" w:cs="Arial" w:eastAsia="Arial" w:hAnsi="Arial"/>
                <w:b/>
                <w:bCs/>
                <w:color w:val="375623"/>
                <w:sz w:val="19"/>
                <w:szCs w:val="19"/>
              </w:rPr>
              <w:t xml:space="preserve">YES</w:t>
            </w:r>
          </w:p>
        </w:tc>
      </w:tr>
      <w:tr>
        <w:tc>
          <w:tcPr>
            <w:tcW w:type="dxa" w:w="536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color w:val="404040"/>
                <w:sz w:val="19"/>
                <w:szCs w:val="19"/>
              </w:rPr>
              <w:t xml:space="preserve">Press release announcing decentralised exchange launch and $FTRA going live on it</w:t>
            </w:r>
          </w:p>
        </w:tc>
        <w:tc>
          <w:tcPr>
            <w:tcW w:type="dxa" w:w="2000"/>
            <w:tcBorders>
              <w:top w:val="single" w:color="BFBFBF" w:sz="1"/>
              <w:left w:val="single" w:color="BFBFBF" w:sz="1"/>
              <w:bottom w:val="single" w:color="BFBFBF" w:sz="1"/>
              <w:right w:val="single" w:color="BFBFBF" w:sz="1"/>
            </w:tcBorders>
            <w:shd w:fill="E2EFDA" w:val="clear"/>
            <w:tcMar>
              <w:top w:type="dxa" w:w="90"/>
              <w:left w:type="dxa" w:w="80"/>
              <w:bottom w:type="dxa" w:w="90"/>
              <w:right w:type="dxa" w:w="80"/>
            </w:tcMar>
            <w:vAlign w:val="center"/>
          </w:tcPr>
          <w:p>
            <w:pPr>
              <w:jc w:val="center"/>
            </w:pPr>
            <w:r>
              <w:rPr>
                <w:rFonts w:ascii="Arial" w:cs="Arial" w:eastAsia="Arial" w:hAnsi="Arial"/>
                <w:b/>
                <w:bCs/>
                <w:color w:val="375623"/>
                <w:sz w:val="19"/>
                <w:szCs w:val="19"/>
              </w:rPr>
              <w:t xml:space="preserve">YES</w:t>
            </w:r>
          </w:p>
        </w:tc>
        <w:tc>
          <w:tcPr>
            <w:tcW w:type="dxa" w:w="2000"/>
            <w:tcBorders>
              <w:top w:val="single" w:color="BFBFBF" w:sz="1"/>
              <w:left w:val="single" w:color="BFBFBF" w:sz="1"/>
              <w:bottom w:val="single" w:color="BFBFBF" w:sz="1"/>
              <w:right w:val="single" w:color="BFBFBF" w:sz="1"/>
            </w:tcBorders>
            <w:shd w:fill="E2EFDA" w:val="clear"/>
            <w:tcMar>
              <w:top w:type="dxa" w:w="90"/>
              <w:left w:type="dxa" w:w="80"/>
              <w:bottom w:type="dxa" w:w="90"/>
              <w:right w:type="dxa" w:w="80"/>
            </w:tcMar>
            <w:vAlign w:val="center"/>
          </w:tcPr>
          <w:p>
            <w:pPr>
              <w:jc w:val="center"/>
            </w:pPr>
            <w:r>
              <w:rPr>
                <w:rFonts w:ascii="Arial" w:cs="Arial" w:eastAsia="Arial" w:hAnsi="Arial"/>
                <w:b/>
                <w:bCs/>
                <w:color w:val="375623"/>
                <w:sz w:val="19"/>
                <w:szCs w:val="19"/>
              </w:rPr>
              <w:t xml:space="preserve">YES</w:t>
            </w:r>
          </w:p>
        </w:tc>
      </w:tr>
      <w:tr>
        <w:tc>
          <w:tcPr>
            <w:tcW w:type="dxa" w:w="536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color w:val="404040"/>
                <w:sz w:val="19"/>
                <w:szCs w:val="19"/>
              </w:rPr>
              <w:t xml:space="preserve">Press release saying 'Pakistani users can now use Fuutura'</w:t>
            </w:r>
          </w:p>
        </w:tc>
        <w:tc>
          <w:tcPr>
            <w:tcW w:type="dxa" w:w="2000"/>
            <w:tcBorders>
              <w:top w:val="single" w:color="BFBFBF" w:sz="1"/>
              <w:left w:val="single" w:color="BFBFBF" w:sz="1"/>
              <w:bottom w:val="single" w:color="BFBFBF" w:sz="1"/>
              <w:right w:val="single" w:color="BFBFBF" w:sz="1"/>
            </w:tcBorders>
            <w:shd w:fill="FCE4E4" w:val="clear"/>
            <w:tcMar>
              <w:top w:type="dxa" w:w="90"/>
              <w:left w:type="dxa" w:w="80"/>
              <w:bottom w:type="dxa" w:w="90"/>
              <w:right w:type="dxa" w:w="80"/>
            </w:tcMar>
            <w:vAlign w:val="center"/>
          </w:tcPr>
          <w:p>
            <w:pPr>
              <w:jc w:val="center"/>
            </w:pPr>
            <w:r>
              <w:rPr>
                <w:rFonts w:ascii="Arial" w:cs="Arial" w:eastAsia="Arial" w:hAnsi="Arial"/>
                <w:b/>
                <w:bCs/>
                <w:color w:val="C00000"/>
                <w:sz w:val="19"/>
                <w:szCs w:val="19"/>
              </w:rPr>
              <w:t xml:space="preserve">NO</w:t>
            </w:r>
          </w:p>
        </w:tc>
        <w:tc>
          <w:tcPr>
            <w:tcW w:type="dxa" w:w="2000"/>
            <w:tcBorders>
              <w:top w:val="single" w:color="BFBFBF" w:sz="1"/>
              <w:left w:val="single" w:color="BFBFBF" w:sz="1"/>
              <w:bottom w:val="single" w:color="BFBFBF" w:sz="1"/>
              <w:right w:val="single" w:color="BFBFBF" w:sz="1"/>
            </w:tcBorders>
            <w:shd w:fill="FCE4E4" w:val="clear"/>
            <w:tcMar>
              <w:top w:type="dxa" w:w="90"/>
              <w:left w:type="dxa" w:w="80"/>
              <w:bottom w:type="dxa" w:w="90"/>
              <w:right w:type="dxa" w:w="80"/>
            </w:tcMar>
            <w:vAlign w:val="center"/>
          </w:tcPr>
          <w:p>
            <w:pPr>
              <w:jc w:val="center"/>
            </w:pPr>
            <w:r>
              <w:rPr>
                <w:rFonts w:ascii="Arial" w:cs="Arial" w:eastAsia="Arial" w:hAnsi="Arial"/>
                <w:b/>
                <w:bCs/>
                <w:color w:val="C00000"/>
                <w:sz w:val="19"/>
                <w:szCs w:val="19"/>
              </w:rPr>
              <w:t xml:space="preserve">NO</w:t>
            </w:r>
          </w:p>
        </w:tc>
      </w:tr>
      <w:tr>
        <w:tc>
          <w:tcPr>
            <w:tcW w:type="dxa" w:w="536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color w:val="404040"/>
                <w:sz w:val="19"/>
                <w:szCs w:val="19"/>
              </w:rPr>
              <w:t xml:space="preserve">Press release saying '$FTRA is now listed on Fuutura main exchange'</w:t>
            </w:r>
          </w:p>
        </w:tc>
        <w:tc>
          <w:tcPr>
            <w:tcW w:type="dxa" w:w="2000"/>
            <w:tcBorders>
              <w:top w:val="single" w:color="BFBFBF" w:sz="1"/>
              <w:left w:val="single" w:color="BFBFBF" w:sz="1"/>
              <w:bottom w:val="single" w:color="BFBFBF" w:sz="1"/>
              <w:right w:val="single" w:color="BFBFBF" w:sz="1"/>
            </w:tcBorders>
            <w:shd w:fill="FCE4E4" w:val="clear"/>
            <w:tcMar>
              <w:top w:type="dxa" w:w="90"/>
              <w:left w:type="dxa" w:w="80"/>
              <w:bottom w:type="dxa" w:w="90"/>
              <w:right w:type="dxa" w:w="80"/>
            </w:tcMar>
            <w:vAlign w:val="center"/>
          </w:tcPr>
          <w:p>
            <w:pPr>
              <w:jc w:val="center"/>
            </w:pPr>
            <w:r>
              <w:rPr>
                <w:rFonts w:ascii="Arial" w:cs="Arial" w:eastAsia="Arial" w:hAnsi="Arial"/>
                <w:b/>
                <w:bCs/>
                <w:color w:val="C00000"/>
                <w:sz w:val="19"/>
                <w:szCs w:val="19"/>
              </w:rPr>
              <w:t xml:space="preserve">NO</w:t>
            </w:r>
          </w:p>
        </w:tc>
        <w:tc>
          <w:tcPr>
            <w:tcW w:type="dxa" w:w="2000"/>
            <w:tcBorders>
              <w:top w:val="single" w:color="BFBFBF" w:sz="1"/>
              <w:left w:val="single" w:color="BFBFBF" w:sz="1"/>
              <w:bottom w:val="single" w:color="BFBFBF" w:sz="1"/>
              <w:right w:val="single" w:color="BFBFBF" w:sz="1"/>
            </w:tcBorders>
            <w:shd w:fill="E2EFDA" w:val="clear"/>
            <w:tcMar>
              <w:top w:type="dxa" w:w="90"/>
              <w:left w:type="dxa" w:w="80"/>
              <w:bottom w:type="dxa" w:w="90"/>
              <w:right w:type="dxa" w:w="80"/>
            </w:tcMar>
            <w:vAlign w:val="center"/>
          </w:tcPr>
          <w:p>
            <w:pPr>
              <w:jc w:val="center"/>
            </w:pPr>
            <w:r>
              <w:rPr>
                <w:rFonts w:ascii="Arial" w:cs="Arial" w:eastAsia="Arial" w:hAnsi="Arial"/>
                <w:b/>
                <w:bCs/>
                <w:color w:val="375623"/>
                <w:sz w:val="19"/>
                <w:szCs w:val="19"/>
              </w:rPr>
              <w:t xml:space="preserve">YES</w:t>
            </w:r>
          </w:p>
        </w:tc>
      </w:tr>
      <w:tr>
        <w:tc>
          <w:tcPr>
            <w:tcW w:type="dxa" w:w="536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color w:val="404040"/>
                <w:sz w:val="19"/>
                <w:szCs w:val="19"/>
              </w:rPr>
              <w:t xml:space="preserve">Organic English post on X/Twitter about $FTRA decentralised exchange trading</w:t>
            </w:r>
          </w:p>
        </w:tc>
        <w:tc>
          <w:tcPr>
            <w:tcW w:type="dxa" w:w="2000"/>
            <w:tcBorders>
              <w:top w:val="single" w:color="BFBFBF" w:sz="1"/>
              <w:left w:val="single" w:color="BFBFBF" w:sz="1"/>
              <w:bottom w:val="single" w:color="BFBFBF" w:sz="1"/>
              <w:right w:val="single" w:color="BFBFBF" w:sz="1"/>
            </w:tcBorders>
            <w:shd w:fill="E2EFDA" w:val="clear"/>
            <w:tcMar>
              <w:top w:type="dxa" w:w="90"/>
              <w:left w:type="dxa" w:w="80"/>
              <w:bottom w:type="dxa" w:w="90"/>
              <w:right w:type="dxa" w:w="80"/>
            </w:tcMar>
            <w:vAlign w:val="center"/>
          </w:tcPr>
          <w:p>
            <w:pPr>
              <w:jc w:val="center"/>
            </w:pPr>
            <w:r>
              <w:rPr>
                <w:rFonts w:ascii="Arial" w:cs="Arial" w:eastAsia="Arial" w:hAnsi="Arial"/>
                <w:b/>
                <w:bCs/>
                <w:color w:val="375623"/>
                <w:sz w:val="19"/>
                <w:szCs w:val="19"/>
              </w:rPr>
              <w:t xml:space="preserve">YES</w:t>
            </w:r>
          </w:p>
        </w:tc>
        <w:tc>
          <w:tcPr>
            <w:tcW w:type="dxa" w:w="2000"/>
            <w:tcBorders>
              <w:top w:val="single" w:color="BFBFBF" w:sz="1"/>
              <w:left w:val="single" w:color="BFBFBF" w:sz="1"/>
              <w:bottom w:val="single" w:color="BFBFBF" w:sz="1"/>
              <w:right w:val="single" w:color="BFBFBF" w:sz="1"/>
            </w:tcBorders>
            <w:shd w:fill="E2EFDA" w:val="clear"/>
            <w:tcMar>
              <w:top w:type="dxa" w:w="90"/>
              <w:left w:type="dxa" w:w="80"/>
              <w:bottom w:type="dxa" w:w="90"/>
              <w:right w:type="dxa" w:w="80"/>
            </w:tcMar>
            <w:vAlign w:val="center"/>
          </w:tcPr>
          <w:p>
            <w:pPr>
              <w:jc w:val="center"/>
            </w:pPr>
            <w:r>
              <w:rPr>
                <w:rFonts w:ascii="Arial" w:cs="Arial" w:eastAsia="Arial" w:hAnsi="Arial"/>
                <w:b/>
                <w:bCs/>
                <w:color w:val="375623"/>
                <w:sz w:val="19"/>
                <w:szCs w:val="19"/>
              </w:rPr>
              <w:t xml:space="preserve">YES</w:t>
            </w:r>
          </w:p>
        </w:tc>
      </w:tr>
      <w:tr>
        <w:tc>
          <w:tcPr>
            <w:tcW w:type="dxa" w:w="536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color w:val="404040"/>
                <w:sz w:val="19"/>
                <w:szCs w:val="19"/>
              </w:rPr>
              <w:t xml:space="preserve">Paid promoted post on Facebook targeted to users in Pakistan</w:t>
            </w:r>
          </w:p>
        </w:tc>
        <w:tc>
          <w:tcPr>
            <w:tcW w:type="dxa" w:w="2000"/>
            <w:tcBorders>
              <w:top w:val="single" w:color="BFBFBF" w:sz="1"/>
              <w:left w:val="single" w:color="BFBFBF" w:sz="1"/>
              <w:bottom w:val="single" w:color="BFBFBF" w:sz="1"/>
              <w:right w:val="single" w:color="BFBFBF" w:sz="1"/>
            </w:tcBorders>
            <w:shd w:fill="FCE4E4" w:val="clear"/>
            <w:tcMar>
              <w:top w:type="dxa" w:w="90"/>
              <w:left w:type="dxa" w:w="80"/>
              <w:bottom w:type="dxa" w:w="90"/>
              <w:right w:type="dxa" w:w="80"/>
            </w:tcMar>
            <w:vAlign w:val="center"/>
          </w:tcPr>
          <w:p>
            <w:pPr>
              <w:jc w:val="center"/>
            </w:pPr>
            <w:r>
              <w:rPr>
                <w:rFonts w:ascii="Arial" w:cs="Arial" w:eastAsia="Arial" w:hAnsi="Arial"/>
                <w:b/>
                <w:bCs/>
                <w:color w:val="C00000"/>
                <w:sz w:val="19"/>
                <w:szCs w:val="19"/>
              </w:rPr>
              <w:t xml:space="preserve">NO</w:t>
            </w:r>
          </w:p>
        </w:tc>
        <w:tc>
          <w:tcPr>
            <w:tcW w:type="dxa" w:w="2000"/>
            <w:tcBorders>
              <w:top w:val="single" w:color="BFBFBF" w:sz="1"/>
              <w:left w:val="single" w:color="BFBFBF" w:sz="1"/>
              <w:bottom w:val="single" w:color="BFBFBF" w:sz="1"/>
              <w:right w:val="single" w:color="BFBFBF" w:sz="1"/>
            </w:tcBorders>
            <w:shd w:fill="FCE4E4" w:val="clear"/>
            <w:tcMar>
              <w:top w:type="dxa" w:w="90"/>
              <w:left w:type="dxa" w:w="80"/>
              <w:bottom w:type="dxa" w:w="90"/>
              <w:right w:type="dxa" w:w="80"/>
            </w:tcMar>
            <w:vAlign w:val="center"/>
          </w:tcPr>
          <w:p>
            <w:pPr>
              <w:jc w:val="center"/>
            </w:pPr>
            <w:r>
              <w:rPr>
                <w:rFonts w:ascii="Arial" w:cs="Arial" w:eastAsia="Arial" w:hAnsi="Arial"/>
                <w:b/>
                <w:bCs/>
                <w:color w:val="C00000"/>
                <w:sz w:val="19"/>
                <w:szCs w:val="19"/>
              </w:rPr>
              <w:t xml:space="preserve">NO</w:t>
            </w:r>
          </w:p>
        </w:tc>
      </w:tr>
      <w:tr>
        <w:tc>
          <w:tcPr>
            <w:tcW w:type="dxa" w:w="536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color w:val="404040"/>
                <w:sz w:val="19"/>
                <w:szCs w:val="19"/>
              </w:rPr>
              <w:t xml:space="preserve">Paid promoted post with no geographic targeting, running globally</w:t>
            </w:r>
          </w:p>
        </w:tc>
        <w:tc>
          <w:tcPr>
            <w:tcW w:type="dxa" w:w="2000"/>
            <w:tcBorders>
              <w:top w:val="single" w:color="BFBFBF" w:sz="1"/>
              <w:left w:val="single" w:color="BFBFBF" w:sz="1"/>
              <w:bottom w:val="single" w:color="BFBFBF" w:sz="1"/>
              <w:right w:val="single" w:color="BFBFBF" w:sz="1"/>
            </w:tcBorders>
            <w:shd w:fill="FFF2CC" w:val="clear"/>
            <w:tcMar>
              <w:top w:type="dxa" w:w="90"/>
              <w:left w:type="dxa" w:w="80"/>
              <w:bottom w:type="dxa" w:w="90"/>
              <w:right w:type="dxa" w:w="80"/>
            </w:tcMar>
            <w:vAlign w:val="center"/>
          </w:tcPr>
          <w:p>
            <w:pPr>
              <w:jc w:val="center"/>
            </w:pPr>
            <w:r>
              <w:rPr>
                <w:rFonts w:ascii="Arial" w:cs="Arial" w:eastAsia="Arial" w:hAnsi="Arial"/>
                <w:b/>
                <w:bCs/>
                <w:color w:val="B06000"/>
                <w:sz w:val="19"/>
                <w:szCs w:val="19"/>
              </w:rPr>
              <w:t xml:space="preserve">LEGAL REVIEW</w:t>
            </w:r>
          </w:p>
        </w:tc>
        <w:tc>
          <w:tcPr>
            <w:tcW w:type="dxa" w:w="2000"/>
            <w:tcBorders>
              <w:top w:val="single" w:color="BFBFBF" w:sz="1"/>
              <w:left w:val="single" w:color="BFBFBF" w:sz="1"/>
              <w:bottom w:val="single" w:color="BFBFBF" w:sz="1"/>
              <w:right w:val="single" w:color="BFBFBF" w:sz="1"/>
            </w:tcBorders>
            <w:shd w:fill="FFF2CC" w:val="clear"/>
            <w:tcMar>
              <w:top w:type="dxa" w:w="90"/>
              <w:left w:type="dxa" w:w="80"/>
              <w:bottom w:type="dxa" w:w="90"/>
              <w:right w:type="dxa" w:w="80"/>
            </w:tcMar>
            <w:vAlign w:val="center"/>
          </w:tcPr>
          <w:p>
            <w:pPr>
              <w:jc w:val="center"/>
            </w:pPr>
            <w:r>
              <w:rPr>
                <w:rFonts w:ascii="Arial" w:cs="Arial" w:eastAsia="Arial" w:hAnsi="Arial"/>
                <w:b/>
                <w:bCs/>
                <w:color w:val="B06000"/>
                <w:sz w:val="19"/>
                <w:szCs w:val="19"/>
              </w:rPr>
              <w:t xml:space="preserve">LEGAL REVIEW</w:t>
            </w:r>
          </w:p>
        </w:tc>
      </w:tr>
      <w:tr>
        <w:tc>
          <w:tcPr>
            <w:tcW w:type="dxa" w:w="536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color w:val="404040"/>
                <w:sz w:val="19"/>
                <w:szCs w:val="19"/>
              </w:rPr>
              <w:t xml:space="preserve">Content in Urdu, Arabic, or any language other than English</w:t>
            </w:r>
          </w:p>
        </w:tc>
        <w:tc>
          <w:tcPr>
            <w:tcW w:type="dxa" w:w="2000"/>
            <w:tcBorders>
              <w:top w:val="single" w:color="BFBFBF" w:sz="1"/>
              <w:left w:val="single" w:color="BFBFBF" w:sz="1"/>
              <w:bottom w:val="single" w:color="BFBFBF" w:sz="1"/>
              <w:right w:val="single" w:color="BFBFBF" w:sz="1"/>
            </w:tcBorders>
            <w:shd w:fill="FCE4E4" w:val="clear"/>
            <w:tcMar>
              <w:top w:type="dxa" w:w="90"/>
              <w:left w:type="dxa" w:w="80"/>
              <w:bottom w:type="dxa" w:w="90"/>
              <w:right w:type="dxa" w:w="80"/>
            </w:tcMar>
            <w:vAlign w:val="center"/>
          </w:tcPr>
          <w:p>
            <w:pPr>
              <w:jc w:val="center"/>
            </w:pPr>
            <w:r>
              <w:rPr>
                <w:rFonts w:ascii="Arial" w:cs="Arial" w:eastAsia="Arial" w:hAnsi="Arial"/>
                <w:b/>
                <w:bCs/>
                <w:color w:val="C00000"/>
                <w:sz w:val="19"/>
                <w:szCs w:val="19"/>
              </w:rPr>
              <w:t xml:space="preserve">NO</w:t>
            </w:r>
          </w:p>
        </w:tc>
        <w:tc>
          <w:tcPr>
            <w:tcW w:type="dxa" w:w="2000"/>
            <w:tcBorders>
              <w:top w:val="single" w:color="BFBFBF" w:sz="1"/>
              <w:left w:val="single" w:color="BFBFBF" w:sz="1"/>
              <w:bottom w:val="single" w:color="BFBFBF" w:sz="1"/>
              <w:right w:val="single" w:color="BFBFBF" w:sz="1"/>
            </w:tcBorders>
            <w:shd w:fill="FCE4E4" w:val="clear"/>
            <w:tcMar>
              <w:top w:type="dxa" w:w="90"/>
              <w:left w:type="dxa" w:w="80"/>
              <w:bottom w:type="dxa" w:w="90"/>
              <w:right w:type="dxa" w:w="80"/>
            </w:tcMar>
            <w:vAlign w:val="center"/>
          </w:tcPr>
          <w:p>
            <w:pPr>
              <w:jc w:val="center"/>
            </w:pPr>
            <w:r>
              <w:rPr>
                <w:rFonts w:ascii="Arial" w:cs="Arial" w:eastAsia="Arial" w:hAnsi="Arial"/>
                <w:b/>
                <w:bCs/>
                <w:color w:val="C00000"/>
                <w:sz w:val="19"/>
                <w:szCs w:val="19"/>
              </w:rPr>
              <w:t xml:space="preserve">NO</w:t>
            </w:r>
          </w:p>
        </w:tc>
      </w:tr>
      <w:tr>
        <w:tc>
          <w:tcPr>
            <w:tcW w:type="dxa" w:w="536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color w:val="404040"/>
                <w:sz w:val="19"/>
                <w:szCs w:val="19"/>
              </w:rPr>
              <w:t xml:space="preserve">Creating an Urdu-language Telegram community channel</w:t>
            </w:r>
          </w:p>
        </w:tc>
        <w:tc>
          <w:tcPr>
            <w:tcW w:type="dxa" w:w="2000"/>
            <w:tcBorders>
              <w:top w:val="single" w:color="BFBFBF" w:sz="1"/>
              <w:left w:val="single" w:color="BFBFBF" w:sz="1"/>
              <w:bottom w:val="single" w:color="BFBFBF" w:sz="1"/>
              <w:right w:val="single" w:color="BFBFBF" w:sz="1"/>
            </w:tcBorders>
            <w:shd w:fill="FCE4E4" w:val="clear"/>
            <w:tcMar>
              <w:top w:type="dxa" w:w="90"/>
              <w:left w:type="dxa" w:w="80"/>
              <w:bottom w:type="dxa" w:w="90"/>
              <w:right w:type="dxa" w:w="80"/>
            </w:tcMar>
            <w:vAlign w:val="center"/>
          </w:tcPr>
          <w:p>
            <w:pPr>
              <w:jc w:val="center"/>
            </w:pPr>
            <w:r>
              <w:rPr>
                <w:rFonts w:ascii="Arial" w:cs="Arial" w:eastAsia="Arial" w:hAnsi="Arial"/>
                <w:b/>
                <w:bCs/>
                <w:color w:val="C00000"/>
                <w:sz w:val="19"/>
                <w:szCs w:val="19"/>
              </w:rPr>
              <w:t xml:space="preserve">NO</w:t>
            </w:r>
          </w:p>
        </w:tc>
        <w:tc>
          <w:tcPr>
            <w:tcW w:type="dxa" w:w="2000"/>
            <w:tcBorders>
              <w:top w:val="single" w:color="BFBFBF" w:sz="1"/>
              <w:left w:val="single" w:color="BFBFBF" w:sz="1"/>
              <w:bottom w:val="single" w:color="BFBFBF" w:sz="1"/>
              <w:right w:val="single" w:color="BFBFBF" w:sz="1"/>
            </w:tcBorders>
            <w:shd w:fill="FCE4E4" w:val="clear"/>
            <w:tcMar>
              <w:top w:type="dxa" w:w="90"/>
              <w:left w:type="dxa" w:w="80"/>
              <w:bottom w:type="dxa" w:w="90"/>
              <w:right w:type="dxa" w:w="80"/>
            </w:tcMar>
            <w:vAlign w:val="center"/>
          </w:tcPr>
          <w:p>
            <w:pPr>
              <w:jc w:val="center"/>
            </w:pPr>
            <w:r>
              <w:rPr>
                <w:rFonts w:ascii="Arial" w:cs="Arial" w:eastAsia="Arial" w:hAnsi="Arial"/>
                <w:b/>
                <w:bCs/>
                <w:color w:val="C00000"/>
                <w:sz w:val="19"/>
                <w:szCs w:val="19"/>
              </w:rPr>
              <w:t xml:space="preserve">NO</w:t>
            </w:r>
          </w:p>
        </w:tc>
      </w:tr>
      <w:tr>
        <w:tc>
          <w:tcPr>
            <w:tcW w:type="dxa" w:w="536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color w:val="404040"/>
                <w:sz w:val="19"/>
                <w:szCs w:val="19"/>
              </w:rPr>
              <w:t xml:space="preserve">Describing our main exchange as 'licensed to trade Bitcoin in El Salvador'</w:t>
            </w:r>
          </w:p>
        </w:tc>
        <w:tc>
          <w:tcPr>
            <w:tcW w:type="dxa" w:w="2000"/>
            <w:tcBorders>
              <w:top w:val="single" w:color="BFBFBF" w:sz="1"/>
              <w:left w:val="single" w:color="BFBFBF" w:sz="1"/>
              <w:bottom w:val="single" w:color="BFBFBF" w:sz="1"/>
              <w:right w:val="single" w:color="BFBFBF" w:sz="1"/>
            </w:tcBorders>
            <w:shd w:fill="E2EFDA" w:val="clear"/>
            <w:tcMar>
              <w:top w:type="dxa" w:w="90"/>
              <w:left w:type="dxa" w:w="80"/>
              <w:bottom w:type="dxa" w:w="90"/>
              <w:right w:type="dxa" w:w="80"/>
            </w:tcMar>
            <w:vAlign w:val="center"/>
          </w:tcPr>
          <w:p>
            <w:pPr>
              <w:jc w:val="center"/>
            </w:pPr>
            <w:r>
              <w:rPr>
                <w:rFonts w:ascii="Arial" w:cs="Arial" w:eastAsia="Arial" w:hAnsi="Arial"/>
                <w:b/>
                <w:bCs/>
                <w:color w:val="375623"/>
                <w:sz w:val="19"/>
                <w:szCs w:val="19"/>
              </w:rPr>
              <w:t xml:space="preserve">YES</w:t>
            </w:r>
          </w:p>
        </w:tc>
        <w:tc>
          <w:tcPr>
            <w:tcW w:type="dxa" w:w="2000"/>
            <w:tcBorders>
              <w:top w:val="single" w:color="BFBFBF" w:sz="1"/>
              <w:left w:val="single" w:color="BFBFBF" w:sz="1"/>
              <w:bottom w:val="single" w:color="BFBFBF" w:sz="1"/>
              <w:right w:val="single" w:color="BFBFBF" w:sz="1"/>
            </w:tcBorders>
            <w:shd w:fill="E2EFDA" w:val="clear"/>
            <w:tcMar>
              <w:top w:type="dxa" w:w="90"/>
              <w:left w:type="dxa" w:w="80"/>
              <w:bottom w:type="dxa" w:w="90"/>
              <w:right w:type="dxa" w:w="80"/>
            </w:tcMar>
            <w:vAlign w:val="center"/>
          </w:tcPr>
          <w:p>
            <w:pPr>
              <w:jc w:val="center"/>
            </w:pPr>
            <w:r>
              <w:rPr>
                <w:rFonts w:ascii="Arial" w:cs="Arial" w:eastAsia="Arial" w:hAnsi="Arial"/>
                <w:b/>
                <w:bCs/>
                <w:color w:val="375623"/>
                <w:sz w:val="19"/>
                <w:szCs w:val="19"/>
              </w:rPr>
              <w:t xml:space="preserve">YES</w:t>
            </w:r>
          </w:p>
        </w:tc>
      </w:tr>
      <w:tr>
        <w:tc>
          <w:tcPr>
            <w:tcW w:type="dxa" w:w="536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color w:val="404040"/>
                <w:sz w:val="19"/>
                <w:szCs w:val="19"/>
              </w:rPr>
              <w:t xml:space="preserve">Describing our main exchange as 'fully licensed for all digital assets'</w:t>
            </w:r>
          </w:p>
        </w:tc>
        <w:tc>
          <w:tcPr>
            <w:tcW w:type="dxa" w:w="2000"/>
            <w:tcBorders>
              <w:top w:val="single" w:color="BFBFBF" w:sz="1"/>
              <w:left w:val="single" w:color="BFBFBF" w:sz="1"/>
              <w:bottom w:val="single" w:color="BFBFBF" w:sz="1"/>
              <w:right w:val="single" w:color="BFBFBF" w:sz="1"/>
            </w:tcBorders>
            <w:shd w:fill="FCE4E4" w:val="clear"/>
            <w:tcMar>
              <w:top w:type="dxa" w:w="90"/>
              <w:left w:type="dxa" w:w="80"/>
              <w:bottom w:type="dxa" w:w="90"/>
              <w:right w:type="dxa" w:w="80"/>
            </w:tcMar>
            <w:vAlign w:val="center"/>
          </w:tcPr>
          <w:p>
            <w:pPr>
              <w:jc w:val="center"/>
            </w:pPr>
            <w:r>
              <w:rPr>
                <w:rFonts w:ascii="Arial" w:cs="Arial" w:eastAsia="Arial" w:hAnsi="Arial"/>
                <w:b/>
                <w:bCs/>
                <w:color w:val="C00000"/>
                <w:sz w:val="19"/>
                <w:szCs w:val="19"/>
              </w:rPr>
              <w:t xml:space="preserve">NO</w:t>
            </w:r>
          </w:p>
        </w:tc>
        <w:tc>
          <w:tcPr>
            <w:tcW w:type="dxa" w:w="2000"/>
            <w:tcBorders>
              <w:top w:val="single" w:color="BFBFBF" w:sz="1"/>
              <w:left w:val="single" w:color="BFBFBF" w:sz="1"/>
              <w:bottom w:val="single" w:color="BFBFBF" w:sz="1"/>
              <w:right w:val="single" w:color="BFBFBF" w:sz="1"/>
            </w:tcBorders>
            <w:shd w:fill="E2EFDA" w:val="clear"/>
            <w:tcMar>
              <w:top w:type="dxa" w:w="90"/>
              <w:left w:type="dxa" w:w="80"/>
              <w:bottom w:type="dxa" w:w="90"/>
              <w:right w:type="dxa" w:w="80"/>
            </w:tcMar>
            <w:vAlign w:val="center"/>
          </w:tcPr>
          <w:p>
            <w:pPr>
              <w:jc w:val="center"/>
            </w:pPr>
            <w:r>
              <w:rPr>
                <w:rFonts w:ascii="Arial" w:cs="Arial" w:eastAsia="Arial" w:hAnsi="Arial"/>
                <w:b/>
                <w:bCs/>
                <w:color w:val="375623"/>
                <w:sz w:val="19"/>
                <w:szCs w:val="19"/>
              </w:rPr>
              <w:t xml:space="preserve">YES</w:t>
            </w:r>
          </w:p>
        </w:tc>
      </w:tr>
      <w:tr>
        <w:tc>
          <w:tcPr>
            <w:tcW w:type="dxa" w:w="536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color w:val="404040"/>
                <w:sz w:val="19"/>
                <w:szCs w:val="19"/>
              </w:rPr>
              <w:t xml:space="preserve">Describing our main exchange as 'licensed to operate globally'</w:t>
            </w:r>
          </w:p>
        </w:tc>
        <w:tc>
          <w:tcPr>
            <w:tcW w:type="dxa" w:w="2000"/>
            <w:tcBorders>
              <w:top w:val="single" w:color="BFBFBF" w:sz="1"/>
              <w:left w:val="single" w:color="BFBFBF" w:sz="1"/>
              <w:bottom w:val="single" w:color="BFBFBF" w:sz="1"/>
              <w:right w:val="single" w:color="BFBFBF" w:sz="1"/>
            </w:tcBorders>
            <w:shd w:fill="FCE4E4" w:val="clear"/>
            <w:tcMar>
              <w:top w:type="dxa" w:w="90"/>
              <w:left w:type="dxa" w:w="80"/>
              <w:bottom w:type="dxa" w:w="90"/>
              <w:right w:type="dxa" w:w="80"/>
            </w:tcMar>
            <w:vAlign w:val="center"/>
          </w:tcPr>
          <w:p>
            <w:pPr>
              <w:jc w:val="center"/>
            </w:pPr>
            <w:r>
              <w:rPr>
                <w:rFonts w:ascii="Arial" w:cs="Arial" w:eastAsia="Arial" w:hAnsi="Arial"/>
                <w:b/>
                <w:bCs/>
                <w:color w:val="C00000"/>
                <w:sz w:val="19"/>
                <w:szCs w:val="19"/>
              </w:rPr>
              <w:t xml:space="preserve">NO</w:t>
            </w:r>
          </w:p>
        </w:tc>
        <w:tc>
          <w:tcPr>
            <w:tcW w:type="dxa" w:w="2000"/>
            <w:tcBorders>
              <w:top w:val="single" w:color="BFBFBF" w:sz="1"/>
              <w:left w:val="single" w:color="BFBFBF" w:sz="1"/>
              <w:bottom w:val="single" w:color="BFBFBF" w:sz="1"/>
              <w:right w:val="single" w:color="BFBFBF" w:sz="1"/>
            </w:tcBorders>
            <w:shd w:fill="FCE4E4" w:val="clear"/>
            <w:tcMar>
              <w:top w:type="dxa" w:w="90"/>
              <w:left w:type="dxa" w:w="80"/>
              <w:bottom w:type="dxa" w:w="90"/>
              <w:right w:type="dxa" w:w="80"/>
            </w:tcMar>
            <w:vAlign w:val="center"/>
          </w:tcPr>
          <w:p>
            <w:pPr>
              <w:jc w:val="center"/>
            </w:pPr>
            <w:r>
              <w:rPr>
                <w:rFonts w:ascii="Arial" w:cs="Arial" w:eastAsia="Arial" w:hAnsi="Arial"/>
                <w:b/>
                <w:bCs/>
                <w:color w:val="C00000"/>
                <w:sz w:val="19"/>
                <w:szCs w:val="19"/>
              </w:rPr>
              <w:t xml:space="preserve">NO</w:t>
            </w:r>
          </w:p>
        </w:tc>
      </w:tr>
      <w:tr>
        <w:tc>
          <w:tcPr>
            <w:tcW w:type="dxa" w:w="536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color w:val="404040"/>
                <w:sz w:val="19"/>
                <w:szCs w:val="19"/>
              </w:rPr>
              <w:t xml:space="preserve">Marketing altcoin (non-Bitcoin) trading on the main exchange</w:t>
            </w:r>
          </w:p>
        </w:tc>
        <w:tc>
          <w:tcPr>
            <w:tcW w:type="dxa" w:w="2000"/>
            <w:tcBorders>
              <w:top w:val="single" w:color="BFBFBF" w:sz="1"/>
              <w:left w:val="single" w:color="BFBFBF" w:sz="1"/>
              <w:bottom w:val="single" w:color="BFBFBF" w:sz="1"/>
              <w:right w:val="single" w:color="BFBFBF" w:sz="1"/>
            </w:tcBorders>
            <w:shd w:fill="FCE4E4" w:val="clear"/>
            <w:tcMar>
              <w:top w:type="dxa" w:w="90"/>
              <w:left w:type="dxa" w:w="80"/>
              <w:bottom w:type="dxa" w:w="90"/>
              <w:right w:type="dxa" w:w="80"/>
            </w:tcMar>
            <w:vAlign w:val="center"/>
          </w:tcPr>
          <w:p>
            <w:pPr>
              <w:jc w:val="center"/>
            </w:pPr>
            <w:r>
              <w:rPr>
                <w:rFonts w:ascii="Arial" w:cs="Arial" w:eastAsia="Arial" w:hAnsi="Arial"/>
                <w:b/>
                <w:bCs/>
                <w:color w:val="C00000"/>
                <w:sz w:val="19"/>
                <w:szCs w:val="19"/>
              </w:rPr>
              <w:t xml:space="preserve">NO</w:t>
            </w:r>
          </w:p>
        </w:tc>
        <w:tc>
          <w:tcPr>
            <w:tcW w:type="dxa" w:w="2000"/>
            <w:tcBorders>
              <w:top w:val="single" w:color="BFBFBF" w:sz="1"/>
              <w:left w:val="single" w:color="BFBFBF" w:sz="1"/>
              <w:bottom w:val="single" w:color="BFBFBF" w:sz="1"/>
              <w:right w:val="single" w:color="BFBFBF" w:sz="1"/>
            </w:tcBorders>
            <w:shd w:fill="E2EFDA" w:val="clear"/>
            <w:tcMar>
              <w:top w:type="dxa" w:w="90"/>
              <w:left w:type="dxa" w:w="80"/>
              <w:bottom w:type="dxa" w:w="90"/>
              <w:right w:type="dxa" w:w="80"/>
            </w:tcMar>
            <w:vAlign w:val="center"/>
          </w:tcPr>
          <w:p>
            <w:pPr>
              <w:jc w:val="center"/>
            </w:pPr>
            <w:r>
              <w:rPr>
                <w:rFonts w:ascii="Arial" w:cs="Arial" w:eastAsia="Arial" w:hAnsi="Arial"/>
                <w:b/>
                <w:bCs/>
                <w:color w:val="375623"/>
                <w:sz w:val="19"/>
                <w:szCs w:val="19"/>
              </w:rPr>
              <w:t xml:space="preserve">YES</w:t>
            </w:r>
          </w:p>
        </w:tc>
      </w:tr>
      <w:tr>
        <w:tc>
          <w:tcPr>
            <w:tcW w:type="dxa" w:w="536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color w:val="404040"/>
                <w:sz w:val="19"/>
                <w:szCs w:val="19"/>
              </w:rPr>
              <w:t xml:space="preserve">Marketing stablecoin services on the main exchange</w:t>
            </w:r>
          </w:p>
        </w:tc>
        <w:tc>
          <w:tcPr>
            <w:tcW w:type="dxa" w:w="2000"/>
            <w:tcBorders>
              <w:top w:val="single" w:color="BFBFBF" w:sz="1"/>
              <w:left w:val="single" w:color="BFBFBF" w:sz="1"/>
              <w:bottom w:val="single" w:color="BFBFBF" w:sz="1"/>
              <w:right w:val="single" w:color="BFBFBF" w:sz="1"/>
            </w:tcBorders>
            <w:shd w:fill="FCE4E4" w:val="clear"/>
            <w:tcMar>
              <w:top w:type="dxa" w:w="90"/>
              <w:left w:type="dxa" w:w="80"/>
              <w:bottom w:type="dxa" w:w="90"/>
              <w:right w:type="dxa" w:w="80"/>
            </w:tcMar>
            <w:vAlign w:val="center"/>
          </w:tcPr>
          <w:p>
            <w:pPr>
              <w:jc w:val="center"/>
            </w:pPr>
            <w:r>
              <w:rPr>
                <w:rFonts w:ascii="Arial" w:cs="Arial" w:eastAsia="Arial" w:hAnsi="Arial"/>
                <w:b/>
                <w:bCs/>
                <w:color w:val="C00000"/>
                <w:sz w:val="19"/>
                <w:szCs w:val="19"/>
              </w:rPr>
              <w:t xml:space="preserve">NO</w:t>
            </w:r>
          </w:p>
        </w:tc>
        <w:tc>
          <w:tcPr>
            <w:tcW w:type="dxa" w:w="2000"/>
            <w:tcBorders>
              <w:top w:val="single" w:color="BFBFBF" w:sz="1"/>
              <w:left w:val="single" w:color="BFBFBF" w:sz="1"/>
              <w:bottom w:val="single" w:color="BFBFBF" w:sz="1"/>
              <w:right w:val="single" w:color="BFBFBF" w:sz="1"/>
            </w:tcBorders>
            <w:shd w:fill="E2EFDA" w:val="clear"/>
            <w:tcMar>
              <w:top w:type="dxa" w:w="90"/>
              <w:left w:type="dxa" w:w="80"/>
              <w:bottom w:type="dxa" w:w="90"/>
              <w:right w:type="dxa" w:w="80"/>
            </w:tcMar>
            <w:vAlign w:val="center"/>
          </w:tcPr>
          <w:p>
            <w:pPr>
              <w:jc w:val="center"/>
            </w:pPr>
            <w:r>
              <w:rPr>
                <w:rFonts w:ascii="Arial" w:cs="Arial" w:eastAsia="Arial" w:hAnsi="Arial"/>
                <w:b/>
                <w:bCs/>
                <w:color w:val="375623"/>
                <w:sz w:val="19"/>
                <w:szCs w:val="19"/>
              </w:rPr>
              <w:t xml:space="preserve">YES</w:t>
            </w:r>
          </w:p>
        </w:tc>
      </w:tr>
      <w:tr>
        <w:tc>
          <w:tcPr>
            <w:tcW w:type="dxa" w:w="536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color w:val="404040"/>
                <w:sz w:val="19"/>
                <w:szCs w:val="19"/>
              </w:rPr>
              <w:t xml:space="preserve">Promoting $FTRA trading on the decentralised exchange</w:t>
            </w:r>
          </w:p>
        </w:tc>
        <w:tc>
          <w:tcPr>
            <w:tcW w:type="dxa" w:w="2000"/>
            <w:tcBorders>
              <w:top w:val="single" w:color="BFBFBF" w:sz="1"/>
              <w:left w:val="single" w:color="BFBFBF" w:sz="1"/>
              <w:bottom w:val="single" w:color="BFBFBF" w:sz="1"/>
              <w:right w:val="single" w:color="BFBFBF" w:sz="1"/>
            </w:tcBorders>
            <w:shd w:fill="E2EFDA" w:val="clear"/>
            <w:tcMar>
              <w:top w:type="dxa" w:w="90"/>
              <w:left w:type="dxa" w:w="80"/>
              <w:bottom w:type="dxa" w:w="90"/>
              <w:right w:type="dxa" w:w="80"/>
            </w:tcMar>
            <w:vAlign w:val="center"/>
          </w:tcPr>
          <w:p>
            <w:pPr>
              <w:jc w:val="center"/>
            </w:pPr>
            <w:r>
              <w:rPr>
                <w:rFonts w:ascii="Arial" w:cs="Arial" w:eastAsia="Arial" w:hAnsi="Arial"/>
                <w:b/>
                <w:bCs/>
                <w:color w:val="375623"/>
                <w:sz w:val="19"/>
                <w:szCs w:val="19"/>
              </w:rPr>
              <w:t xml:space="preserve">YES</w:t>
            </w:r>
          </w:p>
        </w:tc>
        <w:tc>
          <w:tcPr>
            <w:tcW w:type="dxa" w:w="2000"/>
            <w:tcBorders>
              <w:top w:val="single" w:color="BFBFBF" w:sz="1"/>
              <w:left w:val="single" w:color="BFBFBF" w:sz="1"/>
              <w:bottom w:val="single" w:color="BFBFBF" w:sz="1"/>
              <w:right w:val="single" w:color="BFBFBF" w:sz="1"/>
            </w:tcBorders>
            <w:shd w:fill="E2EFDA" w:val="clear"/>
            <w:tcMar>
              <w:top w:type="dxa" w:w="90"/>
              <w:left w:type="dxa" w:w="80"/>
              <w:bottom w:type="dxa" w:w="90"/>
              <w:right w:type="dxa" w:w="80"/>
            </w:tcMar>
            <w:vAlign w:val="center"/>
          </w:tcPr>
          <w:p>
            <w:pPr>
              <w:jc w:val="center"/>
            </w:pPr>
            <w:r>
              <w:rPr>
                <w:rFonts w:ascii="Arial" w:cs="Arial" w:eastAsia="Arial" w:hAnsi="Arial"/>
                <w:b/>
                <w:bCs/>
                <w:color w:val="375623"/>
                <w:sz w:val="19"/>
                <w:szCs w:val="19"/>
              </w:rPr>
              <w:t xml:space="preserve">YES</w:t>
            </w:r>
          </w:p>
        </w:tc>
      </w:tr>
      <w:tr>
        <w:tc>
          <w:tcPr>
            <w:tcW w:type="dxa" w:w="536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color w:val="404040"/>
                <w:sz w:val="19"/>
                <w:szCs w:val="19"/>
              </w:rPr>
              <w:t xml:space="preserve">Claiming the decentralised exchange offers forex (currency pairs like GBP/USD)</w:t>
            </w:r>
          </w:p>
        </w:tc>
        <w:tc>
          <w:tcPr>
            <w:tcW w:type="dxa" w:w="2000"/>
            <w:tcBorders>
              <w:top w:val="single" w:color="BFBFBF" w:sz="1"/>
              <w:left w:val="single" w:color="BFBFBF" w:sz="1"/>
              <w:bottom w:val="single" w:color="BFBFBF" w:sz="1"/>
              <w:right w:val="single" w:color="BFBFBF" w:sz="1"/>
            </w:tcBorders>
            <w:shd w:fill="FCE4E4" w:val="clear"/>
            <w:tcMar>
              <w:top w:type="dxa" w:w="90"/>
              <w:left w:type="dxa" w:w="80"/>
              <w:bottom w:type="dxa" w:w="90"/>
              <w:right w:type="dxa" w:w="80"/>
            </w:tcMar>
            <w:vAlign w:val="center"/>
          </w:tcPr>
          <w:p>
            <w:pPr>
              <w:jc w:val="center"/>
            </w:pPr>
            <w:r>
              <w:rPr>
                <w:rFonts w:ascii="Arial" w:cs="Arial" w:eastAsia="Arial" w:hAnsi="Arial"/>
                <w:b/>
                <w:bCs/>
                <w:color w:val="C00000"/>
                <w:sz w:val="19"/>
                <w:szCs w:val="19"/>
              </w:rPr>
              <w:t xml:space="preserve">NO</w:t>
            </w:r>
          </w:p>
        </w:tc>
        <w:tc>
          <w:tcPr>
            <w:tcW w:type="dxa" w:w="2000"/>
            <w:tcBorders>
              <w:top w:val="single" w:color="BFBFBF" w:sz="1"/>
              <w:left w:val="single" w:color="BFBFBF" w:sz="1"/>
              <w:bottom w:val="single" w:color="BFBFBF" w:sz="1"/>
              <w:right w:val="single" w:color="BFBFBF" w:sz="1"/>
            </w:tcBorders>
            <w:shd w:fill="FCE4E4" w:val="clear"/>
            <w:tcMar>
              <w:top w:type="dxa" w:w="90"/>
              <w:left w:type="dxa" w:w="80"/>
              <w:bottom w:type="dxa" w:w="90"/>
              <w:right w:type="dxa" w:w="80"/>
            </w:tcMar>
            <w:vAlign w:val="center"/>
          </w:tcPr>
          <w:p>
            <w:pPr>
              <w:jc w:val="center"/>
            </w:pPr>
            <w:r>
              <w:rPr>
                <w:rFonts w:ascii="Arial" w:cs="Arial" w:eastAsia="Arial" w:hAnsi="Arial"/>
                <w:b/>
                <w:bCs/>
                <w:color w:val="C00000"/>
                <w:sz w:val="19"/>
                <w:szCs w:val="19"/>
              </w:rPr>
              <w:t xml:space="preserve">NO</w:t>
            </w:r>
          </w:p>
        </w:tc>
      </w:tr>
      <w:tr>
        <w:tc>
          <w:tcPr>
            <w:tcW w:type="dxa" w:w="536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color w:val="404040"/>
                <w:sz w:val="19"/>
                <w:szCs w:val="19"/>
              </w:rPr>
              <w:t xml:space="preserve">Claiming the decentralised exchange offers futures contracts</w:t>
            </w:r>
          </w:p>
        </w:tc>
        <w:tc>
          <w:tcPr>
            <w:tcW w:type="dxa" w:w="2000"/>
            <w:tcBorders>
              <w:top w:val="single" w:color="BFBFBF" w:sz="1"/>
              <w:left w:val="single" w:color="BFBFBF" w:sz="1"/>
              <w:bottom w:val="single" w:color="BFBFBF" w:sz="1"/>
              <w:right w:val="single" w:color="BFBFBF" w:sz="1"/>
            </w:tcBorders>
            <w:shd w:fill="FCE4E4" w:val="clear"/>
            <w:tcMar>
              <w:top w:type="dxa" w:w="90"/>
              <w:left w:type="dxa" w:w="80"/>
              <w:bottom w:type="dxa" w:w="90"/>
              <w:right w:type="dxa" w:w="80"/>
            </w:tcMar>
            <w:vAlign w:val="center"/>
          </w:tcPr>
          <w:p>
            <w:pPr>
              <w:jc w:val="center"/>
            </w:pPr>
            <w:r>
              <w:rPr>
                <w:rFonts w:ascii="Arial" w:cs="Arial" w:eastAsia="Arial" w:hAnsi="Arial"/>
                <w:b/>
                <w:bCs/>
                <w:color w:val="C00000"/>
                <w:sz w:val="19"/>
                <w:szCs w:val="19"/>
              </w:rPr>
              <w:t xml:space="preserve">NO</w:t>
            </w:r>
          </w:p>
        </w:tc>
        <w:tc>
          <w:tcPr>
            <w:tcW w:type="dxa" w:w="2000"/>
            <w:tcBorders>
              <w:top w:val="single" w:color="BFBFBF" w:sz="1"/>
              <w:left w:val="single" w:color="BFBFBF" w:sz="1"/>
              <w:bottom w:val="single" w:color="BFBFBF" w:sz="1"/>
              <w:right w:val="single" w:color="BFBFBF" w:sz="1"/>
            </w:tcBorders>
            <w:shd w:fill="FCE4E4" w:val="clear"/>
            <w:tcMar>
              <w:top w:type="dxa" w:w="90"/>
              <w:left w:type="dxa" w:w="80"/>
              <w:bottom w:type="dxa" w:w="90"/>
              <w:right w:type="dxa" w:w="80"/>
            </w:tcMar>
            <w:vAlign w:val="center"/>
          </w:tcPr>
          <w:p>
            <w:pPr>
              <w:jc w:val="center"/>
            </w:pPr>
            <w:r>
              <w:rPr>
                <w:rFonts w:ascii="Arial" w:cs="Arial" w:eastAsia="Arial" w:hAnsi="Arial"/>
                <w:b/>
                <w:bCs/>
                <w:color w:val="C00000"/>
                <w:sz w:val="19"/>
                <w:szCs w:val="19"/>
              </w:rPr>
              <w:t xml:space="preserve">NO</w:t>
            </w:r>
          </w:p>
        </w:tc>
      </w:tr>
      <w:tr>
        <w:tc>
          <w:tcPr>
            <w:tcW w:type="dxa" w:w="536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color w:val="404040"/>
                <w:sz w:val="19"/>
                <w:szCs w:val="19"/>
              </w:rPr>
              <w:t xml:space="preserve">Claiming the decentralised exchange offers tokenised shares or property</w:t>
            </w:r>
          </w:p>
        </w:tc>
        <w:tc>
          <w:tcPr>
            <w:tcW w:type="dxa" w:w="2000"/>
            <w:tcBorders>
              <w:top w:val="single" w:color="BFBFBF" w:sz="1"/>
              <w:left w:val="single" w:color="BFBFBF" w:sz="1"/>
              <w:bottom w:val="single" w:color="BFBFBF" w:sz="1"/>
              <w:right w:val="single" w:color="BFBFBF" w:sz="1"/>
            </w:tcBorders>
            <w:shd w:fill="FCE4E4" w:val="clear"/>
            <w:tcMar>
              <w:top w:type="dxa" w:w="90"/>
              <w:left w:type="dxa" w:w="80"/>
              <w:bottom w:type="dxa" w:w="90"/>
              <w:right w:type="dxa" w:w="80"/>
            </w:tcMar>
            <w:vAlign w:val="center"/>
          </w:tcPr>
          <w:p>
            <w:pPr>
              <w:jc w:val="center"/>
            </w:pPr>
            <w:r>
              <w:rPr>
                <w:rFonts w:ascii="Arial" w:cs="Arial" w:eastAsia="Arial" w:hAnsi="Arial"/>
                <w:b/>
                <w:bCs/>
                <w:color w:val="C00000"/>
                <w:sz w:val="19"/>
                <w:szCs w:val="19"/>
              </w:rPr>
              <w:t xml:space="preserve">NO</w:t>
            </w:r>
          </w:p>
        </w:tc>
        <w:tc>
          <w:tcPr>
            <w:tcW w:type="dxa" w:w="2000"/>
            <w:tcBorders>
              <w:top w:val="single" w:color="BFBFBF" w:sz="1"/>
              <w:left w:val="single" w:color="BFBFBF" w:sz="1"/>
              <w:bottom w:val="single" w:color="BFBFBF" w:sz="1"/>
              <w:right w:val="single" w:color="BFBFBF" w:sz="1"/>
            </w:tcBorders>
            <w:shd w:fill="FCE4E4" w:val="clear"/>
            <w:tcMar>
              <w:top w:type="dxa" w:w="90"/>
              <w:left w:type="dxa" w:w="80"/>
              <w:bottom w:type="dxa" w:w="90"/>
              <w:right w:type="dxa" w:w="80"/>
            </w:tcMar>
            <w:vAlign w:val="center"/>
          </w:tcPr>
          <w:p>
            <w:pPr>
              <w:jc w:val="center"/>
            </w:pPr>
            <w:r>
              <w:rPr>
                <w:rFonts w:ascii="Arial" w:cs="Arial" w:eastAsia="Arial" w:hAnsi="Arial"/>
                <w:b/>
                <w:bCs/>
                <w:color w:val="C00000"/>
                <w:sz w:val="19"/>
                <w:szCs w:val="19"/>
              </w:rPr>
              <w:t xml:space="preserve">NO</w:t>
            </w:r>
          </w:p>
        </w:tc>
      </w:tr>
      <w:tr>
        <w:tc>
          <w:tcPr>
            <w:tcW w:type="dxa" w:w="536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color w:val="404040"/>
                <w:sz w:val="19"/>
                <w:szCs w:val="19"/>
              </w:rPr>
              <w:t xml:space="preserve">Describing $FTRA as a utility token</w:t>
            </w:r>
          </w:p>
        </w:tc>
        <w:tc>
          <w:tcPr>
            <w:tcW w:type="dxa" w:w="2000"/>
            <w:tcBorders>
              <w:top w:val="single" w:color="BFBFBF" w:sz="1"/>
              <w:left w:val="single" w:color="BFBFBF" w:sz="1"/>
              <w:bottom w:val="single" w:color="BFBFBF" w:sz="1"/>
              <w:right w:val="single" w:color="BFBFBF" w:sz="1"/>
            </w:tcBorders>
            <w:shd w:fill="E2EFDA" w:val="clear"/>
            <w:tcMar>
              <w:top w:type="dxa" w:w="90"/>
              <w:left w:type="dxa" w:w="80"/>
              <w:bottom w:type="dxa" w:w="90"/>
              <w:right w:type="dxa" w:w="80"/>
            </w:tcMar>
            <w:vAlign w:val="center"/>
          </w:tcPr>
          <w:p>
            <w:pPr>
              <w:jc w:val="center"/>
            </w:pPr>
            <w:r>
              <w:rPr>
                <w:rFonts w:ascii="Arial" w:cs="Arial" w:eastAsia="Arial" w:hAnsi="Arial"/>
                <w:b/>
                <w:bCs/>
                <w:color w:val="375623"/>
                <w:sz w:val="19"/>
                <w:szCs w:val="19"/>
              </w:rPr>
              <w:t xml:space="preserve">YES</w:t>
            </w:r>
          </w:p>
        </w:tc>
        <w:tc>
          <w:tcPr>
            <w:tcW w:type="dxa" w:w="2000"/>
            <w:tcBorders>
              <w:top w:val="single" w:color="BFBFBF" w:sz="1"/>
              <w:left w:val="single" w:color="BFBFBF" w:sz="1"/>
              <w:bottom w:val="single" w:color="BFBFBF" w:sz="1"/>
              <w:right w:val="single" w:color="BFBFBF" w:sz="1"/>
            </w:tcBorders>
            <w:shd w:fill="E2EFDA" w:val="clear"/>
            <w:tcMar>
              <w:top w:type="dxa" w:w="90"/>
              <w:left w:type="dxa" w:w="80"/>
              <w:bottom w:type="dxa" w:w="90"/>
              <w:right w:type="dxa" w:w="80"/>
            </w:tcMar>
            <w:vAlign w:val="center"/>
          </w:tcPr>
          <w:p>
            <w:pPr>
              <w:jc w:val="center"/>
            </w:pPr>
            <w:r>
              <w:rPr>
                <w:rFonts w:ascii="Arial" w:cs="Arial" w:eastAsia="Arial" w:hAnsi="Arial"/>
                <w:b/>
                <w:bCs/>
                <w:color w:val="375623"/>
                <w:sz w:val="19"/>
                <w:szCs w:val="19"/>
              </w:rPr>
              <w:t xml:space="preserve">YES</w:t>
            </w:r>
          </w:p>
        </w:tc>
      </w:tr>
      <w:tr>
        <w:tc>
          <w:tcPr>
            <w:tcW w:type="dxa" w:w="536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color w:val="404040"/>
                <w:sz w:val="19"/>
                <w:szCs w:val="19"/>
              </w:rPr>
              <w:t xml:space="preserve">Describing $FTRA as an investment</w:t>
            </w:r>
          </w:p>
        </w:tc>
        <w:tc>
          <w:tcPr>
            <w:tcW w:type="dxa" w:w="2000"/>
            <w:tcBorders>
              <w:top w:val="single" w:color="BFBFBF" w:sz="1"/>
              <w:left w:val="single" w:color="BFBFBF" w:sz="1"/>
              <w:bottom w:val="single" w:color="BFBFBF" w:sz="1"/>
              <w:right w:val="single" w:color="BFBFBF" w:sz="1"/>
            </w:tcBorders>
            <w:shd w:fill="FCE4E4" w:val="clear"/>
            <w:tcMar>
              <w:top w:type="dxa" w:w="90"/>
              <w:left w:type="dxa" w:w="80"/>
              <w:bottom w:type="dxa" w:w="90"/>
              <w:right w:type="dxa" w:w="80"/>
            </w:tcMar>
            <w:vAlign w:val="center"/>
          </w:tcPr>
          <w:p>
            <w:pPr>
              <w:jc w:val="center"/>
            </w:pPr>
            <w:r>
              <w:rPr>
                <w:rFonts w:ascii="Arial" w:cs="Arial" w:eastAsia="Arial" w:hAnsi="Arial"/>
                <w:b/>
                <w:bCs/>
                <w:color w:val="C00000"/>
                <w:sz w:val="19"/>
                <w:szCs w:val="19"/>
              </w:rPr>
              <w:t xml:space="preserve">NO</w:t>
            </w:r>
          </w:p>
        </w:tc>
        <w:tc>
          <w:tcPr>
            <w:tcW w:type="dxa" w:w="2000"/>
            <w:tcBorders>
              <w:top w:val="single" w:color="BFBFBF" w:sz="1"/>
              <w:left w:val="single" w:color="BFBFBF" w:sz="1"/>
              <w:bottom w:val="single" w:color="BFBFBF" w:sz="1"/>
              <w:right w:val="single" w:color="BFBFBF" w:sz="1"/>
            </w:tcBorders>
            <w:shd w:fill="FCE4E4" w:val="clear"/>
            <w:tcMar>
              <w:top w:type="dxa" w:w="90"/>
              <w:left w:type="dxa" w:w="80"/>
              <w:bottom w:type="dxa" w:w="90"/>
              <w:right w:type="dxa" w:w="80"/>
            </w:tcMar>
            <w:vAlign w:val="center"/>
          </w:tcPr>
          <w:p>
            <w:pPr>
              <w:jc w:val="center"/>
            </w:pPr>
            <w:r>
              <w:rPr>
                <w:rFonts w:ascii="Arial" w:cs="Arial" w:eastAsia="Arial" w:hAnsi="Arial"/>
                <w:b/>
                <w:bCs/>
                <w:color w:val="C00000"/>
                <w:sz w:val="19"/>
                <w:szCs w:val="19"/>
              </w:rPr>
              <w:t xml:space="preserve">NO</w:t>
            </w:r>
          </w:p>
        </w:tc>
      </w:tr>
      <w:tr>
        <w:tc>
          <w:tcPr>
            <w:tcW w:type="dxa" w:w="536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color w:val="404040"/>
                <w:sz w:val="19"/>
                <w:szCs w:val="19"/>
              </w:rPr>
              <w:t xml:space="preserve">Publishing $FTRA tokenomics and supply information</w:t>
            </w:r>
          </w:p>
        </w:tc>
        <w:tc>
          <w:tcPr>
            <w:tcW w:type="dxa" w:w="2000"/>
            <w:tcBorders>
              <w:top w:val="single" w:color="BFBFBF" w:sz="1"/>
              <w:left w:val="single" w:color="BFBFBF" w:sz="1"/>
              <w:bottom w:val="single" w:color="BFBFBF" w:sz="1"/>
              <w:right w:val="single" w:color="BFBFBF" w:sz="1"/>
            </w:tcBorders>
            <w:shd w:fill="E2EFDA" w:val="clear"/>
            <w:tcMar>
              <w:top w:type="dxa" w:w="90"/>
              <w:left w:type="dxa" w:w="80"/>
              <w:bottom w:type="dxa" w:w="90"/>
              <w:right w:type="dxa" w:w="80"/>
            </w:tcMar>
            <w:vAlign w:val="center"/>
          </w:tcPr>
          <w:p>
            <w:pPr>
              <w:jc w:val="center"/>
            </w:pPr>
            <w:r>
              <w:rPr>
                <w:rFonts w:ascii="Arial" w:cs="Arial" w:eastAsia="Arial" w:hAnsi="Arial"/>
                <w:b/>
                <w:bCs/>
                <w:color w:val="375623"/>
                <w:sz w:val="19"/>
                <w:szCs w:val="19"/>
              </w:rPr>
              <w:t xml:space="preserve">YES</w:t>
            </w:r>
          </w:p>
        </w:tc>
        <w:tc>
          <w:tcPr>
            <w:tcW w:type="dxa" w:w="2000"/>
            <w:tcBorders>
              <w:top w:val="single" w:color="BFBFBF" w:sz="1"/>
              <w:left w:val="single" w:color="BFBFBF" w:sz="1"/>
              <w:bottom w:val="single" w:color="BFBFBF" w:sz="1"/>
              <w:right w:val="single" w:color="BFBFBF" w:sz="1"/>
            </w:tcBorders>
            <w:shd w:fill="E2EFDA" w:val="clear"/>
            <w:tcMar>
              <w:top w:type="dxa" w:w="90"/>
              <w:left w:type="dxa" w:w="80"/>
              <w:bottom w:type="dxa" w:w="90"/>
              <w:right w:type="dxa" w:w="80"/>
            </w:tcMar>
            <w:vAlign w:val="center"/>
          </w:tcPr>
          <w:p>
            <w:pPr>
              <w:jc w:val="center"/>
            </w:pPr>
            <w:r>
              <w:rPr>
                <w:rFonts w:ascii="Arial" w:cs="Arial" w:eastAsia="Arial" w:hAnsi="Arial"/>
                <w:b/>
                <w:bCs/>
                <w:color w:val="375623"/>
                <w:sz w:val="19"/>
                <w:szCs w:val="19"/>
              </w:rPr>
              <w:t xml:space="preserve">YES</w:t>
            </w:r>
          </w:p>
        </w:tc>
      </w:tr>
      <w:tr>
        <w:tc>
          <w:tcPr>
            <w:tcW w:type="dxa" w:w="536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color w:val="404040"/>
                <w:sz w:val="19"/>
                <w:szCs w:val="19"/>
              </w:rPr>
              <w:t xml:space="preserve">Saying '$FTRA will increase in value'</w:t>
            </w:r>
          </w:p>
        </w:tc>
        <w:tc>
          <w:tcPr>
            <w:tcW w:type="dxa" w:w="2000"/>
            <w:tcBorders>
              <w:top w:val="single" w:color="BFBFBF" w:sz="1"/>
              <w:left w:val="single" w:color="BFBFBF" w:sz="1"/>
              <w:bottom w:val="single" w:color="BFBFBF" w:sz="1"/>
              <w:right w:val="single" w:color="BFBFBF" w:sz="1"/>
            </w:tcBorders>
            <w:shd w:fill="FCE4E4" w:val="clear"/>
            <w:tcMar>
              <w:top w:type="dxa" w:w="90"/>
              <w:left w:type="dxa" w:w="80"/>
              <w:bottom w:type="dxa" w:w="90"/>
              <w:right w:type="dxa" w:w="80"/>
            </w:tcMar>
            <w:vAlign w:val="center"/>
          </w:tcPr>
          <w:p>
            <w:pPr>
              <w:jc w:val="center"/>
            </w:pPr>
            <w:r>
              <w:rPr>
                <w:rFonts w:ascii="Arial" w:cs="Arial" w:eastAsia="Arial" w:hAnsi="Arial"/>
                <w:b/>
                <w:bCs/>
                <w:color w:val="C00000"/>
                <w:sz w:val="19"/>
                <w:szCs w:val="19"/>
              </w:rPr>
              <w:t xml:space="preserve">NO</w:t>
            </w:r>
          </w:p>
        </w:tc>
        <w:tc>
          <w:tcPr>
            <w:tcW w:type="dxa" w:w="2000"/>
            <w:tcBorders>
              <w:top w:val="single" w:color="BFBFBF" w:sz="1"/>
              <w:left w:val="single" w:color="BFBFBF" w:sz="1"/>
              <w:bottom w:val="single" w:color="BFBFBF" w:sz="1"/>
              <w:right w:val="single" w:color="BFBFBF" w:sz="1"/>
            </w:tcBorders>
            <w:shd w:fill="FCE4E4" w:val="clear"/>
            <w:tcMar>
              <w:top w:type="dxa" w:w="90"/>
              <w:left w:type="dxa" w:w="80"/>
              <w:bottom w:type="dxa" w:w="90"/>
              <w:right w:type="dxa" w:w="80"/>
            </w:tcMar>
            <w:vAlign w:val="center"/>
          </w:tcPr>
          <w:p>
            <w:pPr>
              <w:jc w:val="center"/>
            </w:pPr>
            <w:r>
              <w:rPr>
                <w:rFonts w:ascii="Arial" w:cs="Arial" w:eastAsia="Arial" w:hAnsi="Arial"/>
                <w:b/>
                <w:bCs/>
                <w:color w:val="C00000"/>
                <w:sz w:val="19"/>
                <w:szCs w:val="19"/>
              </w:rPr>
              <w:t xml:space="preserve">NO</w:t>
            </w:r>
          </w:p>
        </w:tc>
      </w:tr>
      <w:tr>
        <w:tc>
          <w:tcPr>
            <w:tcW w:type="dxa" w:w="536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color w:val="404040"/>
                <w:sz w:val="19"/>
                <w:szCs w:val="19"/>
              </w:rPr>
              <w:t xml:space="preserve">Running a $FTRA presale campaign (English, no country targeting)</w:t>
            </w:r>
          </w:p>
        </w:tc>
        <w:tc>
          <w:tcPr>
            <w:tcW w:type="dxa" w:w="2000"/>
            <w:tcBorders>
              <w:top w:val="single" w:color="BFBFBF" w:sz="1"/>
              <w:left w:val="single" w:color="BFBFBF" w:sz="1"/>
              <w:bottom w:val="single" w:color="BFBFBF" w:sz="1"/>
              <w:right w:val="single" w:color="BFBFBF" w:sz="1"/>
            </w:tcBorders>
            <w:shd w:fill="FFF2CC" w:val="clear"/>
            <w:tcMar>
              <w:top w:type="dxa" w:w="90"/>
              <w:left w:type="dxa" w:w="80"/>
              <w:bottom w:type="dxa" w:w="90"/>
              <w:right w:type="dxa" w:w="80"/>
            </w:tcMar>
            <w:vAlign w:val="center"/>
          </w:tcPr>
          <w:p>
            <w:pPr>
              <w:jc w:val="center"/>
            </w:pPr>
            <w:r>
              <w:rPr>
                <w:rFonts w:ascii="Arial" w:cs="Arial" w:eastAsia="Arial" w:hAnsi="Arial"/>
                <w:b/>
                <w:bCs/>
                <w:color w:val="B06000"/>
                <w:sz w:val="19"/>
                <w:szCs w:val="19"/>
              </w:rPr>
              <w:t xml:space="preserve">CAUTION</w:t>
            </w:r>
          </w:p>
        </w:tc>
        <w:tc>
          <w:tcPr>
            <w:tcW w:type="dxa" w:w="2000"/>
            <w:tcBorders>
              <w:top w:val="single" w:color="BFBFBF" w:sz="1"/>
              <w:left w:val="single" w:color="BFBFBF" w:sz="1"/>
              <w:bottom w:val="single" w:color="BFBFBF" w:sz="1"/>
              <w:right w:val="single" w:color="BFBFBF" w:sz="1"/>
            </w:tcBorders>
            <w:shd w:fill="E2EFDA" w:val="clear"/>
            <w:tcMar>
              <w:top w:type="dxa" w:w="90"/>
              <w:left w:type="dxa" w:w="80"/>
              <w:bottom w:type="dxa" w:w="90"/>
              <w:right w:type="dxa" w:w="80"/>
            </w:tcMar>
            <w:vAlign w:val="center"/>
          </w:tcPr>
          <w:p>
            <w:pPr>
              <w:jc w:val="center"/>
            </w:pPr>
            <w:r>
              <w:rPr>
                <w:rFonts w:ascii="Arial" w:cs="Arial" w:eastAsia="Arial" w:hAnsi="Arial"/>
                <w:b/>
                <w:bCs/>
                <w:color w:val="375623"/>
                <w:sz w:val="19"/>
                <w:szCs w:val="19"/>
              </w:rPr>
              <w:t xml:space="preserve">YES</w:t>
            </w:r>
          </w:p>
        </w:tc>
      </w:tr>
      <w:tr>
        <w:tc>
          <w:tcPr>
            <w:tcW w:type="dxa" w:w="536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color w:val="404040"/>
                <w:sz w:val="19"/>
                <w:szCs w:val="19"/>
              </w:rPr>
              <w:t xml:space="preserve">Global English-language crypto influencer coverage (no country targeting)</w:t>
            </w:r>
          </w:p>
        </w:tc>
        <w:tc>
          <w:tcPr>
            <w:tcW w:type="dxa" w:w="2000"/>
            <w:tcBorders>
              <w:top w:val="single" w:color="BFBFBF" w:sz="1"/>
              <w:left w:val="single" w:color="BFBFBF" w:sz="1"/>
              <w:bottom w:val="single" w:color="BFBFBF" w:sz="1"/>
              <w:right w:val="single" w:color="BFBFBF" w:sz="1"/>
            </w:tcBorders>
            <w:shd w:fill="FFF2CC" w:val="clear"/>
            <w:tcMar>
              <w:top w:type="dxa" w:w="90"/>
              <w:left w:type="dxa" w:w="80"/>
              <w:bottom w:type="dxa" w:w="90"/>
              <w:right w:type="dxa" w:w="80"/>
            </w:tcMar>
            <w:vAlign w:val="center"/>
          </w:tcPr>
          <w:p>
            <w:pPr>
              <w:jc w:val="center"/>
            </w:pPr>
            <w:r>
              <w:rPr>
                <w:rFonts w:ascii="Arial" w:cs="Arial" w:eastAsia="Arial" w:hAnsi="Arial"/>
                <w:b/>
                <w:bCs/>
                <w:color w:val="B06000"/>
                <w:sz w:val="19"/>
                <w:szCs w:val="19"/>
              </w:rPr>
              <w:t xml:space="preserve">LEGAL REVIEW</w:t>
            </w:r>
          </w:p>
        </w:tc>
        <w:tc>
          <w:tcPr>
            <w:tcW w:type="dxa" w:w="2000"/>
            <w:tcBorders>
              <w:top w:val="single" w:color="BFBFBF" w:sz="1"/>
              <w:left w:val="single" w:color="BFBFBF" w:sz="1"/>
              <w:bottom w:val="single" w:color="BFBFBF" w:sz="1"/>
              <w:right w:val="single" w:color="BFBFBF" w:sz="1"/>
            </w:tcBorders>
            <w:shd w:fill="FFF2CC" w:val="clear"/>
            <w:tcMar>
              <w:top w:type="dxa" w:w="90"/>
              <w:left w:type="dxa" w:w="80"/>
              <w:bottom w:type="dxa" w:w="90"/>
              <w:right w:type="dxa" w:w="80"/>
            </w:tcMar>
            <w:vAlign w:val="center"/>
          </w:tcPr>
          <w:p>
            <w:pPr>
              <w:jc w:val="center"/>
            </w:pPr>
            <w:r>
              <w:rPr>
                <w:rFonts w:ascii="Arial" w:cs="Arial" w:eastAsia="Arial" w:hAnsi="Arial"/>
                <w:b/>
                <w:bCs/>
                <w:color w:val="B06000"/>
                <w:sz w:val="19"/>
                <w:szCs w:val="19"/>
              </w:rPr>
              <w:t xml:space="preserve">LEGAL REVIEW</w:t>
            </w:r>
          </w:p>
        </w:tc>
      </w:tr>
      <w:tr>
        <w:tc>
          <w:tcPr>
            <w:tcW w:type="dxa" w:w="536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color w:val="404040"/>
                <w:sz w:val="19"/>
                <w:szCs w:val="19"/>
              </w:rPr>
              <w:t xml:space="preserve">Pakistani influencer promoting Fuutura to their Pakistani audience</w:t>
            </w:r>
          </w:p>
        </w:tc>
        <w:tc>
          <w:tcPr>
            <w:tcW w:type="dxa" w:w="2000"/>
            <w:tcBorders>
              <w:top w:val="single" w:color="BFBFBF" w:sz="1"/>
              <w:left w:val="single" w:color="BFBFBF" w:sz="1"/>
              <w:bottom w:val="single" w:color="BFBFBF" w:sz="1"/>
              <w:right w:val="single" w:color="BFBFBF" w:sz="1"/>
            </w:tcBorders>
            <w:shd w:fill="FCE4E4" w:val="clear"/>
            <w:tcMar>
              <w:top w:type="dxa" w:w="90"/>
              <w:left w:type="dxa" w:w="80"/>
              <w:bottom w:type="dxa" w:w="90"/>
              <w:right w:type="dxa" w:w="80"/>
            </w:tcMar>
            <w:vAlign w:val="center"/>
          </w:tcPr>
          <w:p>
            <w:pPr>
              <w:jc w:val="center"/>
            </w:pPr>
            <w:r>
              <w:rPr>
                <w:rFonts w:ascii="Arial" w:cs="Arial" w:eastAsia="Arial" w:hAnsi="Arial"/>
                <w:b/>
                <w:bCs/>
                <w:color w:val="C00000"/>
                <w:sz w:val="19"/>
                <w:szCs w:val="19"/>
              </w:rPr>
              <w:t xml:space="preserve">NO</w:t>
            </w:r>
          </w:p>
        </w:tc>
        <w:tc>
          <w:tcPr>
            <w:tcW w:type="dxa" w:w="2000"/>
            <w:tcBorders>
              <w:top w:val="single" w:color="BFBFBF" w:sz="1"/>
              <w:left w:val="single" w:color="BFBFBF" w:sz="1"/>
              <w:bottom w:val="single" w:color="BFBFBF" w:sz="1"/>
              <w:right w:val="single" w:color="BFBFBF" w:sz="1"/>
            </w:tcBorders>
            <w:shd w:fill="FCE4E4" w:val="clear"/>
            <w:tcMar>
              <w:top w:type="dxa" w:w="90"/>
              <w:left w:type="dxa" w:w="80"/>
              <w:bottom w:type="dxa" w:w="90"/>
              <w:right w:type="dxa" w:w="80"/>
            </w:tcMar>
            <w:vAlign w:val="center"/>
          </w:tcPr>
          <w:p>
            <w:pPr>
              <w:jc w:val="center"/>
            </w:pPr>
            <w:r>
              <w:rPr>
                <w:rFonts w:ascii="Arial" w:cs="Arial" w:eastAsia="Arial" w:hAnsi="Arial"/>
                <w:b/>
                <w:bCs/>
                <w:color w:val="C00000"/>
                <w:sz w:val="19"/>
                <w:szCs w:val="19"/>
              </w:rPr>
              <w:t xml:space="preserve">NO</w:t>
            </w:r>
          </w:p>
        </w:tc>
      </w:tr>
      <w:tr>
        <w:tc>
          <w:tcPr>
            <w:tcW w:type="dxa" w:w="536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color w:val="404040"/>
                <w:sz w:val="19"/>
                <w:szCs w:val="19"/>
              </w:rPr>
              <w:t xml:space="preserve">UK-based influencer promoting Fuutura to their UK audience</w:t>
            </w:r>
          </w:p>
        </w:tc>
        <w:tc>
          <w:tcPr>
            <w:tcW w:type="dxa" w:w="2000"/>
            <w:tcBorders>
              <w:top w:val="single" w:color="BFBFBF" w:sz="1"/>
              <w:left w:val="single" w:color="BFBFBF" w:sz="1"/>
              <w:bottom w:val="single" w:color="BFBFBF" w:sz="1"/>
              <w:right w:val="single" w:color="BFBFBF" w:sz="1"/>
            </w:tcBorders>
            <w:shd w:fill="FCE4E4" w:val="clear"/>
            <w:tcMar>
              <w:top w:type="dxa" w:w="90"/>
              <w:left w:type="dxa" w:w="80"/>
              <w:bottom w:type="dxa" w:w="90"/>
              <w:right w:type="dxa" w:w="80"/>
            </w:tcMar>
            <w:vAlign w:val="center"/>
          </w:tcPr>
          <w:p>
            <w:pPr>
              <w:jc w:val="center"/>
            </w:pPr>
            <w:r>
              <w:rPr>
                <w:rFonts w:ascii="Arial" w:cs="Arial" w:eastAsia="Arial" w:hAnsi="Arial"/>
                <w:b/>
                <w:bCs/>
                <w:color w:val="C00000"/>
                <w:sz w:val="19"/>
                <w:szCs w:val="19"/>
              </w:rPr>
              <w:t xml:space="preserve">NO</w:t>
            </w:r>
          </w:p>
        </w:tc>
        <w:tc>
          <w:tcPr>
            <w:tcW w:type="dxa" w:w="2000"/>
            <w:tcBorders>
              <w:top w:val="single" w:color="BFBFBF" w:sz="1"/>
              <w:left w:val="single" w:color="BFBFBF" w:sz="1"/>
              <w:bottom w:val="single" w:color="BFBFBF" w:sz="1"/>
              <w:right w:val="single" w:color="BFBFBF" w:sz="1"/>
            </w:tcBorders>
            <w:shd w:fill="FCE4E4" w:val="clear"/>
            <w:tcMar>
              <w:top w:type="dxa" w:w="90"/>
              <w:left w:type="dxa" w:w="80"/>
              <w:bottom w:type="dxa" w:w="90"/>
              <w:right w:type="dxa" w:w="80"/>
            </w:tcMar>
            <w:vAlign w:val="center"/>
          </w:tcPr>
          <w:p>
            <w:pPr>
              <w:jc w:val="center"/>
            </w:pPr>
            <w:r>
              <w:rPr>
                <w:rFonts w:ascii="Arial" w:cs="Arial" w:eastAsia="Arial" w:hAnsi="Arial"/>
                <w:b/>
                <w:bCs/>
                <w:color w:val="C00000"/>
                <w:sz w:val="19"/>
                <w:szCs w:val="19"/>
              </w:rPr>
              <w:t xml:space="preserve">NO</w:t>
            </w:r>
          </w:p>
        </w:tc>
      </w:tr>
      <w:tr>
        <w:tc>
          <w:tcPr>
            <w:tcW w:type="dxa" w:w="536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color w:val="404040"/>
                <w:sz w:val="19"/>
                <w:szCs w:val="19"/>
              </w:rPr>
              <w:t xml:space="preserve">Attending an international crypto conference (TOKEN2049, Consensus)</w:t>
            </w:r>
          </w:p>
        </w:tc>
        <w:tc>
          <w:tcPr>
            <w:tcW w:type="dxa" w:w="2000"/>
            <w:tcBorders>
              <w:top w:val="single" w:color="BFBFBF" w:sz="1"/>
              <w:left w:val="single" w:color="BFBFBF" w:sz="1"/>
              <w:bottom w:val="single" w:color="BFBFBF" w:sz="1"/>
              <w:right w:val="single" w:color="BFBFBF" w:sz="1"/>
            </w:tcBorders>
            <w:shd w:fill="E2EFDA" w:val="clear"/>
            <w:tcMar>
              <w:top w:type="dxa" w:w="90"/>
              <w:left w:type="dxa" w:w="80"/>
              <w:bottom w:type="dxa" w:w="90"/>
              <w:right w:type="dxa" w:w="80"/>
            </w:tcMar>
            <w:vAlign w:val="center"/>
          </w:tcPr>
          <w:p>
            <w:pPr>
              <w:jc w:val="center"/>
            </w:pPr>
            <w:r>
              <w:rPr>
                <w:rFonts w:ascii="Arial" w:cs="Arial" w:eastAsia="Arial" w:hAnsi="Arial"/>
                <w:b/>
                <w:bCs/>
                <w:color w:val="375623"/>
                <w:sz w:val="19"/>
                <w:szCs w:val="19"/>
              </w:rPr>
              <w:t xml:space="preserve">YES</w:t>
            </w:r>
          </w:p>
        </w:tc>
        <w:tc>
          <w:tcPr>
            <w:tcW w:type="dxa" w:w="2000"/>
            <w:tcBorders>
              <w:top w:val="single" w:color="BFBFBF" w:sz="1"/>
              <w:left w:val="single" w:color="BFBFBF" w:sz="1"/>
              <w:bottom w:val="single" w:color="BFBFBF" w:sz="1"/>
              <w:right w:val="single" w:color="BFBFBF" w:sz="1"/>
            </w:tcBorders>
            <w:shd w:fill="E2EFDA" w:val="clear"/>
            <w:tcMar>
              <w:top w:type="dxa" w:w="90"/>
              <w:left w:type="dxa" w:w="80"/>
              <w:bottom w:type="dxa" w:w="90"/>
              <w:right w:type="dxa" w:w="80"/>
            </w:tcMar>
            <w:vAlign w:val="center"/>
          </w:tcPr>
          <w:p>
            <w:pPr>
              <w:jc w:val="center"/>
            </w:pPr>
            <w:r>
              <w:rPr>
                <w:rFonts w:ascii="Arial" w:cs="Arial" w:eastAsia="Arial" w:hAnsi="Arial"/>
                <w:b/>
                <w:bCs/>
                <w:color w:val="375623"/>
                <w:sz w:val="19"/>
                <w:szCs w:val="19"/>
              </w:rPr>
              <w:t xml:space="preserve">YES</w:t>
            </w:r>
          </w:p>
        </w:tc>
      </w:tr>
      <w:tr>
        <w:tc>
          <w:tcPr>
            <w:tcW w:type="dxa" w:w="536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color w:val="404040"/>
                <w:sz w:val="19"/>
                <w:szCs w:val="19"/>
              </w:rPr>
              <w:t xml:space="preserve">Sponsoring a conference in Pakistan before our Pakistani licence is granted</w:t>
            </w:r>
          </w:p>
        </w:tc>
        <w:tc>
          <w:tcPr>
            <w:tcW w:type="dxa" w:w="2000"/>
            <w:tcBorders>
              <w:top w:val="single" w:color="BFBFBF" w:sz="1"/>
              <w:left w:val="single" w:color="BFBFBF" w:sz="1"/>
              <w:bottom w:val="single" w:color="BFBFBF" w:sz="1"/>
              <w:right w:val="single" w:color="BFBFBF" w:sz="1"/>
            </w:tcBorders>
            <w:shd w:fill="FFF2CC" w:val="clear"/>
            <w:tcMar>
              <w:top w:type="dxa" w:w="90"/>
              <w:left w:type="dxa" w:w="80"/>
              <w:bottom w:type="dxa" w:w="90"/>
              <w:right w:type="dxa" w:w="80"/>
            </w:tcMar>
            <w:vAlign w:val="center"/>
          </w:tcPr>
          <w:p>
            <w:pPr>
              <w:jc w:val="center"/>
            </w:pPr>
            <w:r>
              <w:rPr>
                <w:rFonts w:ascii="Arial" w:cs="Arial" w:eastAsia="Arial" w:hAnsi="Arial"/>
                <w:b/>
                <w:bCs/>
                <w:color w:val="B06000"/>
                <w:sz w:val="19"/>
                <w:szCs w:val="19"/>
              </w:rPr>
              <w:t xml:space="preserve">LEGAL REVIEW</w:t>
            </w:r>
          </w:p>
        </w:tc>
        <w:tc>
          <w:tcPr>
            <w:tcW w:type="dxa" w:w="2000"/>
            <w:tcBorders>
              <w:top w:val="single" w:color="BFBFBF" w:sz="1"/>
              <w:left w:val="single" w:color="BFBFBF" w:sz="1"/>
              <w:bottom w:val="single" w:color="BFBFBF" w:sz="1"/>
              <w:right w:val="single" w:color="BFBFBF" w:sz="1"/>
            </w:tcBorders>
            <w:shd w:fill="FFF2CC" w:val="clear"/>
            <w:tcMar>
              <w:top w:type="dxa" w:w="90"/>
              <w:left w:type="dxa" w:w="80"/>
              <w:bottom w:type="dxa" w:w="90"/>
              <w:right w:type="dxa" w:w="80"/>
            </w:tcMar>
            <w:vAlign w:val="center"/>
          </w:tcPr>
          <w:p>
            <w:pPr>
              <w:jc w:val="center"/>
            </w:pPr>
            <w:r>
              <w:rPr>
                <w:rFonts w:ascii="Arial" w:cs="Arial" w:eastAsia="Arial" w:hAnsi="Arial"/>
                <w:b/>
                <w:bCs/>
                <w:color w:val="B06000"/>
                <w:sz w:val="19"/>
                <w:szCs w:val="19"/>
              </w:rPr>
              <w:t xml:space="preserve">LEGAL REVIEW</w:t>
            </w:r>
          </w:p>
        </w:tc>
      </w:tr>
      <w:tr>
        <w:tc>
          <w:tcPr>
            <w:tcW w:type="dxa" w:w="536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color w:val="404040"/>
                <w:sz w:val="19"/>
                <w:szCs w:val="19"/>
              </w:rPr>
              <w:t xml:space="preserve">Speaking at a panel about financial inclusion and the Global South</w:t>
            </w:r>
          </w:p>
        </w:tc>
        <w:tc>
          <w:tcPr>
            <w:tcW w:type="dxa" w:w="2000"/>
            <w:tcBorders>
              <w:top w:val="single" w:color="BFBFBF" w:sz="1"/>
              <w:left w:val="single" w:color="BFBFBF" w:sz="1"/>
              <w:bottom w:val="single" w:color="BFBFBF" w:sz="1"/>
              <w:right w:val="single" w:color="BFBFBF" w:sz="1"/>
            </w:tcBorders>
            <w:shd w:fill="E2EFDA" w:val="clear"/>
            <w:tcMar>
              <w:top w:type="dxa" w:w="90"/>
              <w:left w:type="dxa" w:w="80"/>
              <w:bottom w:type="dxa" w:w="90"/>
              <w:right w:type="dxa" w:w="80"/>
            </w:tcMar>
            <w:vAlign w:val="center"/>
          </w:tcPr>
          <w:p>
            <w:pPr>
              <w:jc w:val="center"/>
            </w:pPr>
            <w:r>
              <w:rPr>
                <w:rFonts w:ascii="Arial" w:cs="Arial" w:eastAsia="Arial" w:hAnsi="Arial"/>
                <w:b/>
                <w:bCs/>
                <w:color w:val="375623"/>
                <w:sz w:val="19"/>
                <w:szCs w:val="19"/>
              </w:rPr>
              <w:t xml:space="preserve">YES</w:t>
            </w:r>
          </w:p>
        </w:tc>
        <w:tc>
          <w:tcPr>
            <w:tcW w:type="dxa" w:w="2000"/>
            <w:tcBorders>
              <w:top w:val="single" w:color="BFBFBF" w:sz="1"/>
              <w:left w:val="single" w:color="BFBFBF" w:sz="1"/>
              <w:bottom w:val="single" w:color="BFBFBF" w:sz="1"/>
              <w:right w:val="single" w:color="BFBFBF" w:sz="1"/>
            </w:tcBorders>
            <w:shd w:fill="E2EFDA" w:val="clear"/>
            <w:tcMar>
              <w:top w:type="dxa" w:w="90"/>
              <w:left w:type="dxa" w:w="80"/>
              <w:bottom w:type="dxa" w:w="90"/>
              <w:right w:type="dxa" w:w="80"/>
            </w:tcMar>
            <w:vAlign w:val="center"/>
          </w:tcPr>
          <w:p>
            <w:pPr>
              <w:jc w:val="center"/>
            </w:pPr>
            <w:r>
              <w:rPr>
                <w:rFonts w:ascii="Arial" w:cs="Arial" w:eastAsia="Arial" w:hAnsi="Arial"/>
                <w:b/>
                <w:bCs/>
                <w:color w:val="375623"/>
                <w:sz w:val="19"/>
                <w:szCs w:val="19"/>
              </w:rPr>
              <w:t xml:space="preserve">YES</w:t>
            </w:r>
          </w:p>
        </w:tc>
      </w:tr>
    </w:tbl>
    <w:p>
      <w:pPr>
        <w:spacing w:before="80" w:after="80"/>
      </w:pPr>
      <w:r>
        <w:t xml:space="preserve"/>
      </w:r>
    </w:p>
    <w:p>
      <w:pPr>
        <w:spacing w:before="60" w:after="90"/>
      </w:pPr>
      <w:r>
        <w:rPr>
          <w:rFonts w:ascii="Arial" w:cs="Arial" w:eastAsia="Arial" w:hAnsi="Arial"/>
          <w:b/>
          <w:bCs/>
          <w:color w:val="404040"/>
          <w:sz w:val="22"/>
          <w:szCs w:val="22"/>
        </w:rPr>
        <w:t xml:space="preserve">KEY</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tblGrid>
      <w:tr>
        <w:tc>
          <w:tcPr>
            <w:tcW w:type="dxa" w:w="1200"/>
            <w:tcBorders>
              <w:top w:val="single" w:color="BFBFBF" w:sz="1"/>
              <w:left w:val="single" w:color="BFBFBF" w:sz="1"/>
              <w:bottom w:val="single" w:color="BFBFBF" w:sz="1"/>
              <w:right w:val="single" w:color="BFBFBF" w:sz="1"/>
            </w:tcBorders>
            <w:shd w:fill="E2EFDA" w:val="clear"/>
            <w:tcMar>
              <w:top w:type="dxa" w:w="100"/>
              <w:left w:type="dxa" w:w="140"/>
              <w:bottom w:type="dxa" w:w="100"/>
              <w:right w:type="dxa" w:w="140"/>
            </w:tcMar>
            <w:vAlign w:val="center"/>
          </w:tcPr>
          <w:p>
            <w:pPr>
              <w:jc w:val="center"/>
            </w:pPr>
            <w:r>
              <w:rPr>
                <w:rFonts w:ascii="Arial" w:cs="Arial" w:eastAsia="Arial" w:hAnsi="Arial"/>
                <w:b/>
                <w:bCs/>
                <w:color w:val="375623"/>
                <w:sz w:val="19"/>
                <w:szCs w:val="19"/>
              </w:rPr>
              <w:t xml:space="preserve">YES</w:t>
            </w:r>
          </w:p>
        </w:tc>
        <w:tc>
          <w:tcPr>
            <w:tcW w:type="dxa" w:w="3800"/>
            <w:tcBorders>
              <w:top w:val="single" w:color="BFBFBF" w:sz="1"/>
              <w:left w:val="single" w:color="BFBFBF" w:sz="1"/>
              <w:bottom w:val="single" w:color="BFBFBF" w:sz="1"/>
              <w:right w:val="single" w:color="BFBFBF" w:sz="1"/>
            </w:tcBorders>
            <w:shd w:fill="E2EFDA"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19"/>
                <w:szCs w:val="19"/>
              </w:rPr>
              <w:t xml:space="preserve">Permitted — go ahead</w:t>
            </w:r>
          </w:p>
        </w:tc>
      </w:tr>
      <w:tr>
        <w:tc>
          <w:tcPr>
            <w:tcW w:type="dxa" w:w="1200"/>
            <w:tcBorders>
              <w:top w:val="single" w:color="BFBFBF" w:sz="1"/>
              <w:left w:val="single" w:color="BFBFBF" w:sz="1"/>
              <w:bottom w:val="single" w:color="BFBFBF" w:sz="1"/>
              <w:right w:val="single" w:color="BFBFBF" w:sz="1"/>
            </w:tcBorders>
            <w:shd w:fill="FCE4E4" w:val="clear"/>
            <w:tcMar>
              <w:top w:type="dxa" w:w="100"/>
              <w:left w:type="dxa" w:w="140"/>
              <w:bottom w:type="dxa" w:w="100"/>
              <w:right w:type="dxa" w:w="140"/>
            </w:tcMar>
            <w:vAlign w:val="center"/>
          </w:tcPr>
          <w:p>
            <w:pPr>
              <w:jc w:val="center"/>
            </w:pPr>
            <w:r>
              <w:rPr>
                <w:rFonts w:ascii="Arial" w:cs="Arial" w:eastAsia="Arial" w:hAnsi="Arial"/>
                <w:b/>
                <w:bCs/>
                <w:color w:val="C00000"/>
                <w:sz w:val="19"/>
                <w:szCs w:val="19"/>
              </w:rPr>
              <w:t xml:space="preserve">NO</w:t>
            </w:r>
          </w:p>
        </w:tc>
        <w:tc>
          <w:tcPr>
            <w:tcW w:type="dxa" w:w="3800"/>
            <w:tcBorders>
              <w:top w:val="single" w:color="BFBFBF" w:sz="1"/>
              <w:left w:val="single" w:color="BFBFBF" w:sz="1"/>
              <w:bottom w:val="single" w:color="BFBFBF" w:sz="1"/>
              <w:right w:val="single" w:color="BFBFBF" w:sz="1"/>
            </w:tcBorders>
            <w:shd w:fill="FCE4E4"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19"/>
                <w:szCs w:val="19"/>
              </w:rPr>
              <w:t xml:space="preserve">Not permitted — do not publish</w:t>
            </w:r>
          </w:p>
        </w:tc>
      </w:tr>
      <w:tr>
        <w:tc>
          <w:tcPr>
            <w:tcW w:type="dxa" w:w="1200"/>
            <w:tcBorders>
              <w:top w:val="single" w:color="BFBFBF" w:sz="1"/>
              <w:left w:val="single" w:color="BFBFBF" w:sz="1"/>
              <w:bottom w:val="single" w:color="BFBFBF" w:sz="1"/>
              <w:right w:val="single" w:color="BFBFBF" w:sz="1"/>
            </w:tcBorders>
            <w:shd w:fill="FFF2CC" w:val="clear"/>
            <w:tcMar>
              <w:top w:type="dxa" w:w="100"/>
              <w:left w:type="dxa" w:w="140"/>
              <w:bottom w:type="dxa" w:w="100"/>
              <w:right w:type="dxa" w:w="140"/>
            </w:tcMar>
            <w:vAlign w:val="center"/>
          </w:tcPr>
          <w:p>
            <w:pPr>
              <w:jc w:val="center"/>
            </w:pPr>
            <w:r>
              <w:rPr>
                <w:rFonts w:ascii="Arial" w:cs="Arial" w:eastAsia="Arial" w:hAnsi="Arial"/>
                <w:b/>
                <w:bCs/>
                <w:color w:val="B06000"/>
                <w:sz w:val="19"/>
                <w:szCs w:val="19"/>
              </w:rPr>
              <w:t xml:space="preserve">CAUTION</w:t>
            </w:r>
          </w:p>
        </w:tc>
        <w:tc>
          <w:tcPr>
            <w:tcW w:type="dxa" w:w="3800"/>
            <w:tcBorders>
              <w:top w:val="single" w:color="BFBFBF" w:sz="1"/>
              <w:left w:val="single" w:color="BFBFBF" w:sz="1"/>
              <w:bottom w:val="single" w:color="BFBFBF" w:sz="1"/>
              <w:right w:val="single" w:color="BFBFBF" w:sz="1"/>
            </w:tcBorders>
            <w:shd w:fill="FFF2CC"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19"/>
                <w:szCs w:val="19"/>
              </w:rPr>
              <w:t xml:space="preserve">Proceed with care — read the relevant section first</w:t>
            </w:r>
          </w:p>
        </w:tc>
      </w:tr>
      <w:tr>
        <w:tc>
          <w:tcPr>
            <w:tcW w:type="dxa" w:w="1200"/>
            <w:tcBorders>
              <w:top w:val="single" w:color="BFBFBF" w:sz="1"/>
              <w:left w:val="single" w:color="BFBFBF" w:sz="1"/>
              <w:bottom w:val="single" w:color="BFBFBF" w:sz="1"/>
              <w:right w:val="single" w:color="BFBFBF" w:sz="1"/>
            </w:tcBorders>
            <w:shd w:fill="F4F4F4" w:val="clear"/>
            <w:tcMar>
              <w:top w:type="dxa" w:w="100"/>
              <w:left w:type="dxa" w:w="140"/>
              <w:bottom w:type="dxa" w:w="100"/>
              <w:right w:type="dxa" w:w="140"/>
            </w:tcMar>
            <w:vAlign w:val="center"/>
          </w:tcPr>
          <w:p>
            <w:pPr>
              <w:jc w:val="center"/>
            </w:pPr>
            <w:r>
              <w:rPr>
                <w:rFonts w:ascii="Arial" w:cs="Arial" w:eastAsia="Arial" w:hAnsi="Arial"/>
                <w:b/>
                <w:bCs/>
                <w:color w:val="404040"/>
                <w:sz w:val="17"/>
                <w:szCs w:val="17"/>
              </w:rPr>
              <w:t xml:space="preserve">LEGAL REVIEW</w:t>
            </w:r>
          </w:p>
        </w:tc>
        <w:tc>
          <w:tcPr>
            <w:tcW w:type="dxa" w:w="3800"/>
            <w:tcBorders>
              <w:top w:val="single" w:color="BFBFBF" w:sz="1"/>
              <w:left w:val="single" w:color="BFBFBF" w:sz="1"/>
              <w:bottom w:val="single" w:color="BFBFBF" w:sz="1"/>
              <w:right w:val="single" w:color="BFBFBF" w:sz="1"/>
            </w:tcBorders>
            <w:shd w:fill="F4F4F4"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19"/>
                <w:szCs w:val="19"/>
              </w:rPr>
              <w:t xml:space="preserve">Do not proceed until Legal has reviewed and given written approval</w:t>
            </w:r>
          </w:p>
        </w:tc>
      </w:tr>
    </w:tbl>
    <w:p>
      <w:pPr>
        <w:pBdr>
          <w:bottom w:val="single" w:color="DDDDDD" w:sz="4" w:space="1"/>
        </w:pBdr>
        <w:spacing w:before="180" w:after="180"/>
      </w:pPr>
      <w:r>
        <w:t xml:space="preserve"/>
      </w:r>
    </w:p>
    <w:p>
      <w:pPr>
        <w:pStyle w:val="Heading1"/>
        <w:spacing w:before="400" w:after="140"/>
      </w:pPr>
      <w:r>
        <w:rPr>
          <w:rFonts w:ascii="Arial" w:cs="Arial" w:eastAsia="Arial" w:hAnsi="Arial"/>
          <w:b/>
          <w:bCs/>
          <w:color w:val="1A1A2E"/>
          <w:sz w:val="30"/>
          <w:szCs w:val="30"/>
        </w:rPr>
        <w:t xml:space="preserve">9. What Needs Legal Approval Before Publication</w:t>
      </w:r>
    </w:p>
    <w:p>
      <w:pPr>
        <w:spacing w:before="60" w:after="90"/>
      </w:pPr>
      <w:r>
        <w:rPr>
          <w:rFonts w:ascii="Arial" w:cs="Arial" w:eastAsia="Arial" w:hAnsi="Arial"/>
          <w:color w:val="404040"/>
          <w:sz w:val="22"/>
          <w:szCs w:val="22"/>
        </w:rPr>
        <w:t xml:space="preserve">'Legal approval' means a written sign-off from the General Counsel or a nominated member of Legal and Compliance — not a verbal go-ahead. The turnaround times below are the time you should allow from submitting a request.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2680"/>
        <w:gridCol w:w="1880"/>
      </w:tblGrid>
      <w:tr>
        <w:trPr>
          <w:tblHeader/>
        </w:trPr>
        <w:tc>
          <w:tcPr>
            <w:tcW w:type="dxa" w:w="4800"/>
            <w:tcBorders>
              <w:top w:val="single" w:color="BFBFBF" w:sz="1"/>
              <w:left w:val="single" w:color="BFBFBF" w:sz="1"/>
              <w:bottom w:val="single" w:color="BFBFBF" w:sz="1"/>
              <w:right w:val="single" w:color="BFBFBF" w:sz="1"/>
            </w:tcBorders>
            <w:shd w:fill="1A1A2E" w:val="clear"/>
            <w:tcMar>
              <w:top w:type="dxa" w:w="110"/>
              <w:left w:type="dxa" w:w="140"/>
              <w:bottom w:type="dxa" w:w="110"/>
              <w:right w:type="dxa" w:w="140"/>
            </w:tcMar>
          </w:tcPr>
          <w:p>
            <w:pPr>
              <w:jc w:val="center"/>
            </w:pPr>
            <w:r>
              <w:rPr>
                <w:rFonts w:ascii="Arial" w:cs="Arial" w:eastAsia="Arial" w:hAnsi="Arial"/>
                <w:b/>
                <w:bCs/>
                <w:color w:val="FFFFFF"/>
                <w:sz w:val="19"/>
                <w:szCs w:val="19"/>
              </w:rPr>
              <w:t xml:space="preserve">Content Type</w:t>
            </w:r>
          </w:p>
        </w:tc>
        <w:tc>
          <w:tcPr>
            <w:tcW w:type="dxa" w:w="2680"/>
            <w:tcBorders>
              <w:top w:val="single" w:color="BFBFBF" w:sz="1"/>
              <w:left w:val="single" w:color="BFBFBF" w:sz="1"/>
              <w:bottom w:val="single" w:color="BFBFBF" w:sz="1"/>
              <w:right w:val="single" w:color="BFBFBF" w:sz="1"/>
            </w:tcBorders>
            <w:shd w:fill="1A1A2E" w:val="clear"/>
            <w:tcMar>
              <w:top w:type="dxa" w:w="110"/>
              <w:left w:type="dxa" w:w="140"/>
              <w:bottom w:type="dxa" w:w="110"/>
              <w:right w:type="dxa" w:w="140"/>
            </w:tcMar>
          </w:tcPr>
          <w:p>
            <w:pPr>
              <w:jc w:val="center"/>
            </w:pPr>
            <w:r>
              <w:rPr>
                <w:rFonts w:ascii="Arial" w:cs="Arial" w:eastAsia="Arial" w:hAnsi="Arial"/>
                <w:b/>
                <w:bCs/>
                <w:color w:val="FFFFFF"/>
                <w:sz w:val="19"/>
                <w:szCs w:val="19"/>
              </w:rPr>
              <w:t xml:space="preserve">Who Must Approve</w:t>
            </w:r>
          </w:p>
        </w:tc>
        <w:tc>
          <w:tcPr>
            <w:tcW w:type="dxa" w:w="1880"/>
            <w:tcBorders>
              <w:top w:val="single" w:color="BFBFBF" w:sz="1"/>
              <w:left w:val="single" w:color="BFBFBF" w:sz="1"/>
              <w:bottom w:val="single" w:color="BFBFBF" w:sz="1"/>
              <w:right w:val="single" w:color="BFBFBF" w:sz="1"/>
            </w:tcBorders>
            <w:shd w:fill="1A1A2E" w:val="clear"/>
            <w:tcMar>
              <w:top w:type="dxa" w:w="110"/>
              <w:left w:type="dxa" w:w="140"/>
              <w:bottom w:type="dxa" w:w="110"/>
              <w:right w:type="dxa" w:w="140"/>
            </w:tcMar>
          </w:tcPr>
          <w:p>
            <w:pPr>
              <w:jc w:val="center"/>
            </w:pPr>
            <w:r>
              <w:rPr>
                <w:rFonts w:ascii="Arial" w:cs="Arial" w:eastAsia="Arial" w:hAnsi="Arial"/>
                <w:b/>
                <w:bCs/>
                <w:color w:val="FFFFFF"/>
                <w:sz w:val="19"/>
                <w:szCs w:val="19"/>
              </w:rPr>
              <w:t xml:space="preserve">Allow This Long</w:t>
            </w:r>
          </w:p>
        </w:tc>
      </w:tr>
      <w:tr>
        <w:tc>
          <w:tcPr>
            <w:tcW w:type="dxa" w:w="4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18"/>
                <w:szCs w:val="18"/>
              </w:rPr>
              <w:t xml:space="preserve">Every press release without exception</w:t>
            </w:r>
          </w:p>
        </w:tc>
        <w:tc>
          <w:tcPr>
            <w:tcW w:type="dxa" w:w="2680"/>
            <w:tcBorders>
              <w:top w:val="single" w:color="BFBFBF" w:sz="1"/>
              <w:left w:val="single" w:color="BFBFBF" w:sz="1"/>
              <w:bottom w:val="single" w:color="BFBFBF" w:sz="1"/>
              <w:right w:val="single" w:color="BFBFBF" w:sz="1"/>
            </w:tcBorders>
            <w:shd w:fill="FFF2CC" w:val="clear"/>
            <w:tcMar>
              <w:top w:type="dxa" w:w="100"/>
              <w:left w:type="dxa" w:w="140"/>
              <w:bottom w:type="dxa" w:w="100"/>
              <w:right w:type="dxa" w:w="140"/>
            </w:tcMar>
            <w:vAlign w:val="center"/>
          </w:tcPr>
          <w:p>
            <w:pPr>
              <w:jc w:val="left"/>
            </w:pPr>
            <w:r>
              <w:rPr>
                <w:rFonts w:ascii="Arial" w:cs="Arial" w:eastAsia="Arial" w:hAnsi="Arial"/>
                <w:b/>
                <w:bCs/>
                <w:color w:val="B06000"/>
                <w:sz w:val="18"/>
                <w:szCs w:val="18"/>
              </w:rPr>
              <w:t xml:space="preserve">Legal sign-off</w:t>
            </w:r>
          </w:p>
        </w:tc>
        <w:tc>
          <w:tcPr>
            <w:tcW w:type="dxa" w:w="1880"/>
            <w:tcBorders>
              <w:top w:val="single" w:color="BFBFBF" w:sz="1"/>
              <w:left w:val="single" w:color="BFBFBF" w:sz="1"/>
              <w:bottom w:val="single" w:color="BFBFBF" w:sz="1"/>
              <w:right w:val="single" w:color="BFBFBF" w:sz="1"/>
            </w:tcBorders>
            <w:shd w:fill="F4F4F4"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18"/>
                <w:szCs w:val="18"/>
              </w:rPr>
              <w:t xml:space="preserve">48 hours</w:t>
            </w:r>
          </w:p>
        </w:tc>
      </w:tr>
      <w:tr>
        <w:tc>
          <w:tcPr>
            <w:tcW w:type="dxa" w:w="4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18"/>
                <w:szCs w:val="18"/>
              </w:rPr>
              <w:t xml:space="preserve">Any paid advertising campaign (any platform, any format)</w:t>
            </w:r>
          </w:p>
        </w:tc>
        <w:tc>
          <w:tcPr>
            <w:tcW w:type="dxa" w:w="2680"/>
            <w:tcBorders>
              <w:top w:val="single" w:color="BFBFBF" w:sz="1"/>
              <w:left w:val="single" w:color="BFBFBF" w:sz="1"/>
              <w:bottom w:val="single" w:color="BFBFBF" w:sz="1"/>
              <w:right w:val="single" w:color="BFBFBF" w:sz="1"/>
            </w:tcBorders>
            <w:shd w:fill="FFF2CC" w:val="clear"/>
            <w:tcMar>
              <w:top w:type="dxa" w:w="100"/>
              <w:left w:type="dxa" w:w="140"/>
              <w:bottom w:type="dxa" w:w="100"/>
              <w:right w:type="dxa" w:w="140"/>
            </w:tcMar>
            <w:vAlign w:val="center"/>
          </w:tcPr>
          <w:p>
            <w:pPr>
              <w:jc w:val="left"/>
            </w:pPr>
            <w:r>
              <w:rPr>
                <w:rFonts w:ascii="Arial" w:cs="Arial" w:eastAsia="Arial" w:hAnsi="Arial"/>
                <w:b/>
                <w:bCs/>
                <w:color w:val="B06000"/>
                <w:sz w:val="18"/>
                <w:szCs w:val="18"/>
              </w:rPr>
              <w:t xml:space="preserve">Legal + General Counsel</w:t>
            </w:r>
          </w:p>
        </w:tc>
        <w:tc>
          <w:tcPr>
            <w:tcW w:type="dxa" w:w="1880"/>
            <w:tcBorders>
              <w:top w:val="single" w:color="BFBFBF" w:sz="1"/>
              <w:left w:val="single" w:color="BFBFBF" w:sz="1"/>
              <w:bottom w:val="single" w:color="BFBFBF" w:sz="1"/>
              <w:right w:val="single" w:color="BFBFBF" w:sz="1"/>
            </w:tcBorders>
            <w:shd w:fill="F4F4F4"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18"/>
                <w:szCs w:val="18"/>
              </w:rPr>
              <w:t xml:space="preserve">72 hours</w:t>
            </w:r>
          </w:p>
        </w:tc>
      </w:tr>
      <w:tr>
        <w:tc>
          <w:tcPr>
            <w:tcW w:type="dxa" w:w="4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18"/>
                <w:szCs w:val="18"/>
              </w:rPr>
              <w:t xml:space="preserve">Influencer or content creator briefs and contracts</w:t>
            </w:r>
          </w:p>
        </w:tc>
        <w:tc>
          <w:tcPr>
            <w:tcW w:type="dxa" w:w="2680"/>
            <w:tcBorders>
              <w:top w:val="single" w:color="BFBFBF" w:sz="1"/>
              <w:left w:val="single" w:color="BFBFBF" w:sz="1"/>
              <w:bottom w:val="single" w:color="BFBFBF" w:sz="1"/>
              <w:right w:val="single" w:color="BFBFBF" w:sz="1"/>
            </w:tcBorders>
            <w:shd w:fill="FFF2CC" w:val="clear"/>
            <w:tcMar>
              <w:top w:type="dxa" w:w="100"/>
              <w:left w:type="dxa" w:w="140"/>
              <w:bottom w:type="dxa" w:w="100"/>
              <w:right w:type="dxa" w:w="140"/>
            </w:tcMar>
            <w:vAlign w:val="center"/>
          </w:tcPr>
          <w:p>
            <w:pPr>
              <w:jc w:val="left"/>
            </w:pPr>
            <w:r>
              <w:rPr>
                <w:rFonts w:ascii="Arial" w:cs="Arial" w:eastAsia="Arial" w:hAnsi="Arial"/>
                <w:b/>
                <w:bCs/>
                <w:color w:val="B06000"/>
                <w:sz w:val="18"/>
                <w:szCs w:val="18"/>
              </w:rPr>
              <w:t xml:space="preserve">Legal sign-off</w:t>
            </w:r>
          </w:p>
        </w:tc>
        <w:tc>
          <w:tcPr>
            <w:tcW w:type="dxa" w:w="1880"/>
            <w:tcBorders>
              <w:top w:val="single" w:color="BFBFBF" w:sz="1"/>
              <w:left w:val="single" w:color="BFBFBF" w:sz="1"/>
              <w:bottom w:val="single" w:color="BFBFBF" w:sz="1"/>
              <w:right w:val="single" w:color="BFBFBF" w:sz="1"/>
            </w:tcBorders>
            <w:shd w:fill="F4F4F4"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18"/>
                <w:szCs w:val="18"/>
              </w:rPr>
              <w:t xml:space="preserve">48 hours</w:t>
            </w:r>
          </w:p>
        </w:tc>
      </w:tr>
      <w:tr>
        <w:tc>
          <w:tcPr>
            <w:tcW w:type="dxa" w:w="4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18"/>
                <w:szCs w:val="18"/>
              </w:rPr>
              <w:t xml:space="preserve">Content in any language other than English</w:t>
            </w:r>
          </w:p>
        </w:tc>
        <w:tc>
          <w:tcPr>
            <w:tcW w:type="dxa" w:w="2680"/>
            <w:tcBorders>
              <w:top w:val="single" w:color="BFBFBF" w:sz="1"/>
              <w:left w:val="single" w:color="BFBFBF" w:sz="1"/>
              <w:bottom w:val="single" w:color="BFBFBF" w:sz="1"/>
              <w:right w:val="single" w:color="BFBFBF" w:sz="1"/>
            </w:tcBorders>
            <w:shd w:fill="FFF2CC" w:val="clear"/>
            <w:tcMar>
              <w:top w:type="dxa" w:w="100"/>
              <w:left w:type="dxa" w:w="140"/>
              <w:bottom w:type="dxa" w:w="100"/>
              <w:right w:type="dxa" w:w="140"/>
            </w:tcMar>
            <w:vAlign w:val="center"/>
          </w:tcPr>
          <w:p>
            <w:pPr>
              <w:jc w:val="left"/>
            </w:pPr>
            <w:r>
              <w:rPr>
                <w:rFonts w:ascii="Arial" w:cs="Arial" w:eastAsia="Arial" w:hAnsi="Arial"/>
                <w:b/>
                <w:bCs/>
                <w:color w:val="B06000"/>
                <w:sz w:val="18"/>
                <w:szCs w:val="18"/>
              </w:rPr>
              <w:t xml:space="preserve">Legal + General Counsel</w:t>
            </w:r>
          </w:p>
        </w:tc>
        <w:tc>
          <w:tcPr>
            <w:tcW w:type="dxa" w:w="1880"/>
            <w:tcBorders>
              <w:top w:val="single" w:color="BFBFBF" w:sz="1"/>
              <w:left w:val="single" w:color="BFBFBF" w:sz="1"/>
              <w:bottom w:val="single" w:color="BFBFBF" w:sz="1"/>
              <w:right w:val="single" w:color="BFBFBF" w:sz="1"/>
            </w:tcBorders>
            <w:shd w:fill="F4F4F4"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18"/>
                <w:szCs w:val="18"/>
              </w:rPr>
              <w:t xml:space="preserve">5 business days</w:t>
            </w:r>
          </w:p>
        </w:tc>
      </w:tr>
      <w:tr>
        <w:tc>
          <w:tcPr>
            <w:tcW w:type="dxa" w:w="4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18"/>
                <w:szCs w:val="18"/>
              </w:rPr>
              <w:t xml:space="preserve">$FTRA presale marketing materials (Stage 2)</w:t>
            </w:r>
          </w:p>
        </w:tc>
        <w:tc>
          <w:tcPr>
            <w:tcW w:type="dxa" w:w="2680"/>
            <w:tcBorders>
              <w:top w:val="single" w:color="BFBFBF" w:sz="1"/>
              <w:left w:val="single" w:color="BFBFBF" w:sz="1"/>
              <w:bottom w:val="single" w:color="BFBFBF" w:sz="1"/>
              <w:right w:val="single" w:color="BFBFBF" w:sz="1"/>
            </w:tcBorders>
            <w:shd w:fill="FFF2CC" w:val="clear"/>
            <w:tcMar>
              <w:top w:type="dxa" w:w="100"/>
              <w:left w:type="dxa" w:w="140"/>
              <w:bottom w:type="dxa" w:w="100"/>
              <w:right w:type="dxa" w:w="140"/>
            </w:tcMar>
            <w:vAlign w:val="center"/>
          </w:tcPr>
          <w:p>
            <w:pPr>
              <w:jc w:val="left"/>
            </w:pPr>
            <w:r>
              <w:rPr>
                <w:rFonts w:ascii="Arial" w:cs="Arial" w:eastAsia="Arial" w:hAnsi="Arial"/>
                <w:b/>
                <w:bCs/>
                <w:color w:val="B06000"/>
                <w:sz w:val="18"/>
                <w:szCs w:val="18"/>
              </w:rPr>
              <w:t xml:space="preserve">Legal sign-off</w:t>
            </w:r>
          </w:p>
        </w:tc>
        <w:tc>
          <w:tcPr>
            <w:tcW w:type="dxa" w:w="1880"/>
            <w:tcBorders>
              <w:top w:val="single" w:color="BFBFBF" w:sz="1"/>
              <w:left w:val="single" w:color="BFBFBF" w:sz="1"/>
              <w:bottom w:val="single" w:color="BFBFBF" w:sz="1"/>
              <w:right w:val="single" w:color="BFBFBF" w:sz="1"/>
            </w:tcBorders>
            <w:shd w:fill="F4F4F4"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18"/>
                <w:szCs w:val="18"/>
              </w:rPr>
              <w:t xml:space="preserve">48 hours</w:t>
            </w:r>
          </w:p>
        </w:tc>
      </w:tr>
      <w:tr>
        <w:tc>
          <w:tcPr>
            <w:tcW w:type="dxa" w:w="4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18"/>
                <w:szCs w:val="18"/>
              </w:rPr>
              <w:t xml:space="preserve">Conference speeches, panel talking points, interview preparation notes</w:t>
            </w:r>
          </w:p>
        </w:tc>
        <w:tc>
          <w:tcPr>
            <w:tcW w:type="dxa" w:w="2680"/>
            <w:tcBorders>
              <w:top w:val="single" w:color="BFBFBF" w:sz="1"/>
              <w:left w:val="single" w:color="BFBFBF" w:sz="1"/>
              <w:bottom w:val="single" w:color="BFBFBF" w:sz="1"/>
              <w:right w:val="single" w:color="BFBFBF" w:sz="1"/>
            </w:tcBorders>
            <w:shd w:fill="FFF2CC" w:val="clear"/>
            <w:tcMar>
              <w:top w:type="dxa" w:w="100"/>
              <w:left w:type="dxa" w:w="140"/>
              <w:bottom w:type="dxa" w:w="100"/>
              <w:right w:type="dxa" w:w="140"/>
            </w:tcMar>
            <w:vAlign w:val="center"/>
          </w:tcPr>
          <w:p>
            <w:pPr>
              <w:jc w:val="left"/>
            </w:pPr>
            <w:r>
              <w:rPr>
                <w:rFonts w:ascii="Arial" w:cs="Arial" w:eastAsia="Arial" w:hAnsi="Arial"/>
                <w:b/>
                <w:bCs/>
                <w:color w:val="B06000"/>
                <w:sz w:val="18"/>
                <w:szCs w:val="18"/>
              </w:rPr>
              <w:t xml:space="preserve">Legal review</w:t>
            </w:r>
          </w:p>
        </w:tc>
        <w:tc>
          <w:tcPr>
            <w:tcW w:type="dxa" w:w="1880"/>
            <w:tcBorders>
              <w:top w:val="single" w:color="BFBFBF" w:sz="1"/>
              <w:left w:val="single" w:color="BFBFBF" w:sz="1"/>
              <w:bottom w:val="single" w:color="BFBFBF" w:sz="1"/>
              <w:right w:val="single" w:color="BFBFBF" w:sz="1"/>
            </w:tcBorders>
            <w:shd w:fill="F4F4F4"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18"/>
                <w:szCs w:val="18"/>
              </w:rPr>
              <w:t xml:space="preserve">48 hours</w:t>
            </w:r>
          </w:p>
        </w:tc>
      </w:tr>
      <w:tr>
        <w:tc>
          <w:tcPr>
            <w:tcW w:type="dxa" w:w="4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18"/>
                <w:szCs w:val="18"/>
              </w:rPr>
              <w:t xml:space="preserve">Any activity in a country we have not previously operated in</w:t>
            </w:r>
          </w:p>
        </w:tc>
        <w:tc>
          <w:tcPr>
            <w:tcW w:type="dxa" w:w="2680"/>
            <w:tcBorders>
              <w:top w:val="single" w:color="BFBFBF" w:sz="1"/>
              <w:left w:val="single" w:color="BFBFBF" w:sz="1"/>
              <w:bottom w:val="single" w:color="BFBFBF" w:sz="1"/>
              <w:right w:val="single" w:color="BFBFBF" w:sz="1"/>
            </w:tcBorders>
            <w:shd w:fill="FFF2CC" w:val="clear"/>
            <w:tcMar>
              <w:top w:type="dxa" w:w="100"/>
              <w:left w:type="dxa" w:w="140"/>
              <w:bottom w:type="dxa" w:w="100"/>
              <w:right w:type="dxa" w:w="140"/>
            </w:tcMar>
            <w:vAlign w:val="center"/>
          </w:tcPr>
          <w:p>
            <w:pPr>
              <w:jc w:val="left"/>
            </w:pPr>
            <w:r>
              <w:rPr>
                <w:rFonts w:ascii="Arial" w:cs="Arial" w:eastAsia="Arial" w:hAnsi="Arial"/>
                <w:b/>
                <w:bCs/>
                <w:color w:val="B06000"/>
                <w:sz w:val="18"/>
                <w:szCs w:val="18"/>
              </w:rPr>
              <w:t xml:space="preserve">Legal clearance</w:t>
            </w:r>
          </w:p>
        </w:tc>
        <w:tc>
          <w:tcPr>
            <w:tcW w:type="dxa" w:w="1880"/>
            <w:tcBorders>
              <w:top w:val="single" w:color="BFBFBF" w:sz="1"/>
              <w:left w:val="single" w:color="BFBFBF" w:sz="1"/>
              <w:bottom w:val="single" w:color="BFBFBF" w:sz="1"/>
              <w:right w:val="single" w:color="BFBFBF" w:sz="1"/>
            </w:tcBorders>
            <w:shd w:fill="F4F4F4"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18"/>
                <w:szCs w:val="18"/>
              </w:rPr>
              <w:t xml:space="preserve">5 business days</w:t>
            </w:r>
          </w:p>
        </w:tc>
      </w:tr>
      <w:tr>
        <w:tc>
          <w:tcPr>
            <w:tcW w:type="dxa" w:w="4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18"/>
                <w:szCs w:val="18"/>
              </w:rPr>
              <w:t xml:space="preserve">Any social media post making a specific claim about our regulatory status</w:t>
            </w:r>
          </w:p>
        </w:tc>
        <w:tc>
          <w:tcPr>
            <w:tcW w:type="dxa" w:w="2680"/>
            <w:tcBorders>
              <w:top w:val="single" w:color="BFBFBF" w:sz="1"/>
              <w:left w:val="single" w:color="BFBFBF" w:sz="1"/>
              <w:bottom w:val="single" w:color="BFBFBF" w:sz="1"/>
              <w:right w:val="single" w:color="BFBFBF" w:sz="1"/>
            </w:tcBorders>
            <w:shd w:fill="FFF2CC" w:val="clear"/>
            <w:tcMar>
              <w:top w:type="dxa" w:w="100"/>
              <w:left w:type="dxa" w:w="140"/>
              <w:bottom w:type="dxa" w:w="100"/>
              <w:right w:type="dxa" w:w="140"/>
            </w:tcMar>
            <w:vAlign w:val="center"/>
          </w:tcPr>
          <w:p>
            <w:pPr>
              <w:jc w:val="left"/>
            </w:pPr>
            <w:r>
              <w:rPr>
                <w:rFonts w:ascii="Arial" w:cs="Arial" w:eastAsia="Arial" w:hAnsi="Arial"/>
                <w:b/>
                <w:bCs/>
                <w:color w:val="B06000"/>
                <w:sz w:val="18"/>
                <w:szCs w:val="18"/>
              </w:rPr>
              <w:t xml:space="preserve">Legal review</w:t>
            </w:r>
          </w:p>
        </w:tc>
        <w:tc>
          <w:tcPr>
            <w:tcW w:type="dxa" w:w="1880"/>
            <w:tcBorders>
              <w:top w:val="single" w:color="BFBFBF" w:sz="1"/>
              <w:left w:val="single" w:color="BFBFBF" w:sz="1"/>
              <w:bottom w:val="single" w:color="BFBFBF" w:sz="1"/>
              <w:right w:val="single" w:color="BFBFBF" w:sz="1"/>
            </w:tcBorders>
            <w:shd w:fill="F4F4F4"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18"/>
                <w:szCs w:val="18"/>
              </w:rPr>
              <w:t xml:space="preserve">24 hours</w:t>
            </w:r>
          </w:p>
        </w:tc>
      </w:tr>
      <w:tr>
        <w:tc>
          <w:tcPr>
            <w:tcW w:type="dxa" w:w="4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18"/>
                <w:szCs w:val="18"/>
              </w:rPr>
              <w:t xml:space="preserve">Stablecoin or investment product marketing (Stage 2 only)</w:t>
            </w:r>
          </w:p>
        </w:tc>
        <w:tc>
          <w:tcPr>
            <w:tcW w:type="dxa" w:w="2680"/>
            <w:tcBorders>
              <w:top w:val="single" w:color="BFBFBF" w:sz="1"/>
              <w:left w:val="single" w:color="BFBFBF" w:sz="1"/>
              <w:bottom w:val="single" w:color="BFBFBF" w:sz="1"/>
              <w:right w:val="single" w:color="BFBFBF" w:sz="1"/>
            </w:tcBorders>
            <w:shd w:fill="FFF2CC" w:val="clear"/>
            <w:tcMar>
              <w:top w:type="dxa" w:w="100"/>
              <w:left w:type="dxa" w:w="140"/>
              <w:bottom w:type="dxa" w:w="100"/>
              <w:right w:type="dxa" w:w="140"/>
            </w:tcMar>
            <w:vAlign w:val="center"/>
          </w:tcPr>
          <w:p>
            <w:pPr>
              <w:jc w:val="left"/>
            </w:pPr>
            <w:r>
              <w:rPr>
                <w:rFonts w:ascii="Arial" w:cs="Arial" w:eastAsia="Arial" w:hAnsi="Arial"/>
                <w:b/>
                <w:bCs/>
                <w:color w:val="B06000"/>
                <w:sz w:val="18"/>
                <w:szCs w:val="18"/>
              </w:rPr>
              <w:t xml:space="preserve">Legal sign-off</w:t>
            </w:r>
          </w:p>
        </w:tc>
        <w:tc>
          <w:tcPr>
            <w:tcW w:type="dxa" w:w="1880"/>
            <w:tcBorders>
              <w:top w:val="single" w:color="BFBFBF" w:sz="1"/>
              <w:left w:val="single" w:color="BFBFBF" w:sz="1"/>
              <w:bottom w:val="single" w:color="BFBFBF" w:sz="1"/>
              <w:right w:val="single" w:color="BFBFBF" w:sz="1"/>
            </w:tcBorders>
            <w:shd w:fill="F4F4F4"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18"/>
                <w:szCs w:val="18"/>
              </w:rPr>
              <w:t xml:space="preserve">48 hours</w:t>
            </w:r>
          </w:p>
        </w:tc>
      </w:tr>
      <w:tr>
        <w:tc>
          <w:tcPr>
            <w:tcW w:type="dxa" w:w="4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18"/>
                <w:szCs w:val="18"/>
              </w:rPr>
              <w:t xml:space="preserve">Any response to a media question about our regulatory position</w:t>
            </w:r>
          </w:p>
        </w:tc>
        <w:tc>
          <w:tcPr>
            <w:tcW w:type="dxa" w:w="2680"/>
            <w:tcBorders>
              <w:top w:val="single" w:color="BFBFBF" w:sz="1"/>
              <w:left w:val="single" w:color="BFBFBF" w:sz="1"/>
              <w:bottom w:val="single" w:color="BFBFBF" w:sz="1"/>
              <w:right w:val="single" w:color="BFBFBF" w:sz="1"/>
            </w:tcBorders>
            <w:shd w:fill="FFF2CC" w:val="clear"/>
            <w:tcMar>
              <w:top w:type="dxa" w:w="100"/>
              <w:left w:type="dxa" w:w="140"/>
              <w:bottom w:type="dxa" w:w="100"/>
              <w:right w:type="dxa" w:w="140"/>
            </w:tcMar>
            <w:vAlign w:val="center"/>
          </w:tcPr>
          <w:p>
            <w:pPr>
              <w:jc w:val="left"/>
            </w:pPr>
            <w:r>
              <w:rPr>
                <w:rFonts w:ascii="Arial" w:cs="Arial" w:eastAsia="Arial" w:hAnsi="Arial"/>
                <w:b/>
                <w:bCs/>
                <w:color w:val="B06000"/>
                <w:sz w:val="18"/>
                <w:szCs w:val="18"/>
              </w:rPr>
              <w:t xml:space="preserve">Must be drafted or approved by Legal</w:t>
            </w:r>
          </w:p>
        </w:tc>
        <w:tc>
          <w:tcPr>
            <w:tcW w:type="dxa" w:w="1880"/>
            <w:tcBorders>
              <w:top w:val="single" w:color="BFBFBF" w:sz="1"/>
              <w:left w:val="single" w:color="BFBFBF" w:sz="1"/>
              <w:bottom w:val="single" w:color="BFBFBF" w:sz="1"/>
              <w:right w:val="single" w:color="BFBFBF" w:sz="1"/>
            </w:tcBorders>
            <w:shd w:fill="F4F4F4" w:val="clear"/>
            <w:tcMar>
              <w:top w:type="dxa" w:w="100"/>
              <w:left w:type="dxa" w:w="140"/>
              <w:bottom w:type="dxa" w:w="100"/>
              <w:right w:type="dxa" w:w="140"/>
            </w:tcMar>
            <w:vAlign w:val="center"/>
          </w:tcPr>
          <w:p>
            <w:pPr>
              <w:jc w:val="left"/>
            </w:pPr>
            <w:r>
              <w:rPr>
                <w:rFonts w:ascii="Arial" w:cs="Arial" w:eastAsia="Arial" w:hAnsi="Arial"/>
                <w:b w:val="false"/>
                <w:bCs w:val="false"/>
                <w:color w:val="404040"/>
                <w:sz w:val="18"/>
                <w:szCs w:val="18"/>
              </w:rPr>
              <w:t xml:space="preserve">Immediate escalation</w:t>
            </w:r>
          </w:p>
        </w:tc>
      </w:tr>
    </w:tbl>
    <w:p>
      <w:pPr>
        <w:spacing w:before="80" w:after="80"/>
      </w:pPr>
      <w:r>
        <w:t xml:space="preserve"/>
      </w:r>
    </w:p>
    <w:p>
      <w:pPr>
        <w:pStyle w:val="Heading2"/>
        <w:spacing w:before="280" w:after="100"/>
      </w:pPr>
      <w:r>
        <w:rPr>
          <w:rFonts w:ascii="Arial" w:cs="Arial" w:eastAsia="Arial" w:hAnsi="Arial"/>
          <w:b/>
          <w:bCs/>
          <w:color w:val="1F4E79"/>
          <w:sz w:val="24"/>
          <w:szCs w:val="24"/>
        </w:rPr>
        <w:t xml:space="preserve">9.1  If Something Goes Out That Should Not Have</w:t>
      </w:r>
    </w:p>
    <w:p>
      <w:pPr>
        <w:spacing w:before="60" w:after="90"/>
      </w:pPr>
      <w:r>
        <w:rPr>
          <w:rFonts w:ascii="Arial" w:cs="Arial" w:eastAsia="Arial" w:hAnsi="Arial"/>
          <w:color w:val="404040"/>
          <w:sz w:val="22"/>
          <w:szCs w:val="22"/>
        </w:rPr>
        <w:t xml:space="preserve">If non-compliant content is published — whether by a team member, an agency, or a partner — follow these steps immediately:</w:t>
      </w:r>
    </w:p>
    <w:p>
      <w:pPr>
        <w:pStyle w:val="ListParagraph"/>
        <w:numPr>
          <w:ilvl w:val="0"/>
          <w:numId w:val="2"/>
        </w:numPr>
        <w:spacing w:before="50" w:after="50"/>
      </w:pPr>
      <w:r>
        <w:rPr>
          <w:rFonts w:ascii="Arial" w:cs="Arial" w:eastAsia="Arial" w:hAnsi="Arial"/>
          <w:b w:val="false"/>
          <w:bCs w:val="false"/>
          <w:color w:val="404040"/>
          <w:sz w:val="22"/>
          <w:szCs w:val="22"/>
        </w:rPr>
        <w:t xml:space="preserve">Stop all further distribution of the content at once</w:t>
      </w:r>
    </w:p>
    <w:p>
      <w:pPr>
        <w:pStyle w:val="ListParagraph"/>
        <w:numPr>
          <w:ilvl w:val="0"/>
          <w:numId w:val="2"/>
        </w:numPr>
        <w:spacing w:before="50" w:after="50"/>
      </w:pPr>
      <w:r>
        <w:rPr>
          <w:rFonts w:ascii="Arial" w:cs="Arial" w:eastAsia="Arial" w:hAnsi="Arial"/>
          <w:b w:val="false"/>
          <w:bCs w:val="false"/>
          <w:color w:val="404040"/>
          <w:sz w:val="22"/>
          <w:szCs w:val="22"/>
        </w:rPr>
        <w:t xml:space="preserve">Contact Legal within one hour — do not wait to assess the scale of the problem</w:t>
      </w:r>
    </w:p>
    <w:p>
      <w:pPr>
        <w:pStyle w:val="ListParagraph"/>
        <w:numPr>
          <w:ilvl w:val="0"/>
          <w:numId w:val="2"/>
        </w:numPr>
        <w:spacing w:before="50" w:after="50"/>
      </w:pPr>
      <w:r>
        <w:rPr>
          <w:rFonts w:ascii="Arial" w:cs="Arial" w:eastAsia="Arial" w:hAnsi="Arial"/>
          <w:b w:val="false"/>
          <w:bCs w:val="false"/>
          <w:color w:val="404040"/>
          <w:sz w:val="22"/>
          <w:szCs w:val="22"/>
        </w:rPr>
        <w:t xml:space="preserve">Do not delete or edit the content yet — Legal needs to see exactly what went out before advising on the correct response. Deleting content without advice can sometimes make the situation worse with regulators.</w:t>
      </w:r>
    </w:p>
    <w:p>
      <w:pPr>
        <w:pStyle w:val="ListParagraph"/>
        <w:numPr>
          <w:ilvl w:val="0"/>
          <w:numId w:val="2"/>
        </w:numPr>
        <w:spacing w:before="50" w:after="50"/>
      </w:pPr>
      <w:r>
        <w:rPr>
          <w:rFonts w:ascii="Arial" w:cs="Arial" w:eastAsia="Arial" w:hAnsi="Arial"/>
          <w:b w:val="false"/>
          <w:bCs w:val="false"/>
          <w:color w:val="404040"/>
          <w:sz w:val="22"/>
          <w:szCs w:val="22"/>
        </w:rPr>
        <w:t xml:space="preserve">Keep a full record: what was published, where, when, by whom, and what audience may have seen it</w:t>
      </w:r>
    </w:p>
    <w:p>
      <w:pPr>
        <w:spacing w:before="80" w:after="80"/>
      </w:pPr>
      <w:r>
        <w:t xml:space="preserve"/>
      </w:r>
    </w:p>
    <w:p>
      <w:pPr>
        <w:spacing w:before="60" w:after="90"/>
      </w:pPr>
      <w:r>
        <w:rPr>
          <w:rFonts w:ascii="Arial" w:cs="Arial" w:eastAsia="Arial" w:hAnsi="Arial"/>
          <w:b/>
          <w:bCs/>
          <w:color w:val="404040"/>
          <w:sz w:val="22"/>
          <w:szCs w:val="22"/>
        </w:rPr>
        <w:t xml:space="preserve">Escalation contact: legal@fuutura.io</w:t>
      </w:r>
    </w:p>
    <w:p>
      <w:pPr>
        <w:pBdr>
          <w:bottom w:val="single" w:color="DDDDDD" w:sz="4" w:space="1"/>
        </w:pBdr>
        <w:spacing w:before="180" w:after="180"/>
      </w:pPr>
      <w:r>
        <w:t xml:space="preserve"/>
      </w:r>
    </w:p>
    <w:p>
      <w:pPr>
        <w:spacing w:before="200" w:after="60"/>
        <w:jc w:val="center"/>
      </w:pPr>
      <w:r>
        <w:rPr>
          <w:rFonts w:ascii="Arial" w:cs="Arial" w:eastAsia="Arial" w:hAnsi="Arial"/>
          <w:b/>
          <w:bCs/>
          <w:color w:val="404040"/>
          <w:sz w:val="18"/>
          <w:szCs w:val="18"/>
        </w:rPr>
        <w:t xml:space="preserve">FUUTURA GROUP — CONFIDENTIAL — INTERNAL USE ONLY</w:t>
      </w:r>
    </w:p>
    <w:p>
      <w:pPr>
        <w:spacing w:before="0" w:after="60"/>
        <w:jc w:val="center"/>
      </w:pPr>
      <w:r>
        <w:rPr>
          <w:rFonts w:ascii="Arial" w:cs="Arial" w:eastAsia="Arial" w:hAnsi="Arial"/>
          <w:i/>
          <w:iCs/>
          <w:color w:val="777777"/>
          <w:sz w:val="18"/>
          <w:szCs w:val="18"/>
        </w:rPr>
        <w:t xml:space="preserve">Questions on anything in this guide: legal@fuutura.io</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1"/>
      </w:pBdr>
      <w:tabs>
        <w:tab w:val="right" w:pos="9026"/>
      </w:tabs>
    </w:pPr>
    <w:r>
      <w:rPr>
        <w:rFonts w:ascii="Arial" w:cs="Arial" w:eastAsia="Arial" w:hAnsi="Arial"/>
        <w:color w:val="404040"/>
        <w:sz w:val="16"/>
        <w:szCs w:val="16"/>
      </w:rPr>
      <w:t xml:space="preserve">Fuutura Group  |  Legal &amp; Compliance</w:t>
    </w:r>
    <w:r>
      <w:rPr>
        <w:rFonts w:ascii="Arial" w:cs="Arial" w:eastAsia="Arial" w:hAnsi="Arial"/>
        <w:sz w:val="16"/>
        <w:szCs w:val="16"/>
      </w:rPr>
      <w:t xml:space="preserve">	</w:t>
    </w:r>
    <w:r>
      <w:rPr>
        <w:rFonts w:ascii="Arial" w:cs="Arial" w:eastAsia="Arial" w:hAnsi="Arial"/>
        <w:i/>
        <w:iCs/>
        <w:color w:val="404040"/>
        <w:sz w:val="16"/>
        <w:szCs w:val="16"/>
      </w:rPr>
      <w:t xml:space="preserve">Stage 1: Bitcoin licence + Decentralised exchange    →    Stage 2: Full digital asset licence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1"/>
      </w:pBdr>
      <w:tabs>
        <w:tab w:val="right" w:pos="9026"/>
      </w:tabs>
    </w:pPr>
    <w:r>
      <w:rPr>
        <w:rFonts w:ascii="Arial" w:cs="Arial" w:eastAsia="Arial" w:hAnsi="Arial"/>
        <w:color w:val="404040"/>
        <w:sz w:val="16"/>
        <w:szCs w:val="16"/>
      </w:rPr>
      <w:t xml:space="preserve">FUUTURA — Marketing Team: What You Can and Cannot Say</w:t>
    </w:r>
    <w:r>
      <w:rPr>
        <w:rFonts w:ascii="Arial" w:cs="Arial" w:eastAsia="Arial" w:hAnsi="Arial"/>
        <w:sz w:val="16"/>
        <w:szCs w:val="16"/>
      </w:rPr>
      <w:t xml:space="preserve">	</w:t>
    </w:r>
    <w:r>
      <w:rPr>
        <w:rFonts w:ascii="Arial" w:cs="Arial" w:eastAsia="Arial" w:hAnsi="Arial"/>
        <w:i/>
        <w:iCs/>
        <w:color w:val="404040"/>
        <w:sz w:val="16"/>
        <w:szCs w:val="16"/>
      </w:rPr>
      <w:t xml:space="preserve">CONFIDENTIAL  |  v1.0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40"/>
      <w:outlineLvl w:val="0"/>
    </w:pPr>
    <w:rPr>
      <w:rFonts w:ascii="Arial" w:cs="Arial" w:eastAsia="Arial" w:hAnsi="Arial"/>
      <w:b/>
      <w:bCs/>
      <w:color w:val="1A1A2E"/>
      <w:sz w:val="30"/>
      <w:szCs w:val="30"/>
    </w:rPr>
  </w:style>
  <w:style w:type="paragraph" w:styleId="Heading2">
    <w:name w:val="Heading 2"/>
    <w:basedOn w:val="Normal"/>
    <w:next w:val="Normal"/>
    <w:qFormat/>
    <w:pPr>
      <w:spacing w:before="280" w:after="100"/>
      <w:outlineLvl w:val="1"/>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2026-03-12T07:01:53.484Z</dcterms:created>
  <dcterms:modified xsi:type="dcterms:W3CDTF">2026-03-12T07:01:53.484Z</dcterms:modified>
</cp:coreProperties>
</file>

<file path=docProps/custom.xml><?xml version="1.0" encoding="utf-8"?>
<Properties xmlns="http://schemas.openxmlformats.org/officeDocument/2006/custom-properties" xmlns:vt="http://schemas.openxmlformats.org/officeDocument/2006/docPropsVTypes"/>
</file>