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3BAC" w14:textId="77777777">
      <w:pPr>
        <w:spacing w:before="1480"/>
        <w:jc w:val="center"/>
      </w:pPr>
      <w:r>
        <w:rPr>
          <w:b/>
          <w:color w:val="7030A0"/>
          <w:sz w:val="32"/>
        </w:rPr>
        <w:t>scFlow Studio Agent</w:t>
      </w:r>
    </w:p>
    <w:p w14:paraId="3DCF068F" w14:textId="77777777">
      <w:pPr>
        <w:pStyle w:val="ManualTitle"/>
        <w:jc w:val="center"/>
      </w:pPr>
      <w:r>
        <w:t>V0.1.0</w:t>
      </w:r>
    </w:p>
    <w:p w14:paraId="4A3B63F4" w14:textId="77777777">
      <w:pPr>
        <w:pStyle w:val="ManualTitle"/>
        <w:jc w:val="center"/>
      </w:pPr>
      <w:r>
        <w:t>User Manual</w:t>
      </w:r>
    </w:p>
    <w:p w14:paraId="637676D5" w14:textId="77777777">
      <w:pPr>
        <w:pStyle w:val="ManualSubtitle"/>
        <w:jc w:val="center"/>
      </w:pPr>
      <w:r>
        <w:t>Windows x64 | Installation | Data Import | 16-Step Analysis Workflow</w:t>
      </w: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39E7C84A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2B9B87F" w14:textId="77777777">
            <w:pPr>
              <w:jc w:val="center"/>
            </w:pPr>
            <w:r>
              <w:rPr>
                <w:b/>
                <w:color w:val="1F4E78"/>
                <w:sz w:val="21"/>
              </w:rPr>
              <w:t>Product: scFlow Studio Agent V0.1.0</w:t>
            </w:r>
            <w:r>
              <w:rPr>
                <w:b/>
                <w:color w:val="1F4E78"/>
                <w:sz w:val="21"/>
              </w:rPr>
              <w:br/>
            </w:r>
            <w:r>
              <w:t>Platform: Windows 10/11 x64</w:t>
            </w:r>
            <w:r>
              <w:br/>
              <w:t>Document type: User Manual</w:t>
            </w:r>
          </w:p>
        </w:tc>
      </w:tr>
    </w:tbl>
    <w:p w14:paraId="0BFB84CB" w14:textId="77777777">
      <w:r>
        <w:br w:type="page"/>
      </w:r>
    </w:p>
    <w:p w14:paraId="4B222547" w14:textId="77777777">
      <w:pPr>
        <w:pStyle w:val="11"/>
      </w:pPr>
      <w:bookmarkStart w:id="0" w:name="_Toc237184151"/>
      <w:r>
        <w:lastRenderedPageBreak/>
        <w:t>Getting Started</w:t>
      </w:r>
      <w:bookmarkEnd w:id="0"/>
    </w:p>
    <w:p w14:paraId="77FD0435" w14:textId="77777777">
      <w:r>
        <w:t>scFlow Studio Agent is a desktop workflow for single-cell transcriptomics. It brings data import, quality control, doublet removal, clustering, annotation, downstream statistics, and file export into one interface.</w:t>
      </w:r>
    </w:p>
    <w:p w14:paraId="40976947" w14:textId="77777777">
      <w:pPr>
        <w:pStyle w:val="21"/>
      </w:pPr>
      <w:r>
        <w:t>Main capabilities</w:t>
      </w:r>
    </w:p>
    <w:p w14:paraId="0BAEA4BC" w14:textId="77777777">
      <w:pPr>
        <w:pStyle w:val="10"/>
      </w:pPr>
      <w:r>
        <w:t>Imports 10X folders, text matrices, archives, H5AD or H5AD.GZ files, and compatible Seurat RDS objects.</w:t>
      </w:r>
    </w:p>
    <w:p w14:paraId="45F26EE7" w14:textId="77777777">
      <w:pPr>
        <w:pStyle w:val="10"/>
      </w:pPr>
      <w:r>
        <w:t>Provides a continuous 01-16 workflow with parameters, progress, logs, and confirmation controls at each step.</w:t>
      </w:r>
    </w:p>
    <w:p w14:paraId="00956D03" w14:textId="77777777">
      <w:pPr>
        <w:pStyle w:val="10"/>
      </w:pPr>
      <w:r>
        <w:t>Includes a portable R runtime, so a separate system R installation is normally unnecessary.</w:t>
      </w:r>
    </w:p>
    <w:p w14:paraId="7F83BE70" w14:textId="77777777">
      <w:pPr>
        <w:pStyle w:val="10"/>
      </w:pPr>
      <w:r>
        <w:t>Supports UMAP and t-SNE, major and subcluster annotation, DEG, GSEA, gene analysis, communication, cell cycle, and trajectory analysis.</w:t>
      </w:r>
    </w:p>
    <w:p w14:paraId="7C2DD149" w14:textId="77777777">
      <w:pPr>
        <w:pStyle w:val="10"/>
      </w:pPr>
      <w:r>
        <w:t>Exports figures, tables, objects, project packages, and optional AI-assisted manuscript content.</w:t>
      </w:r>
    </w:p>
    <w:p w14:paraId="04C2D9FB" w14:textId="77777777">
      <w:pPr>
        <w:pStyle w:val="21"/>
      </w:pPr>
      <w:r>
        <w:t>Standard run sequence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391"/>
      </w:tblGrid>
      <w:tr w14:paraId="600DD7F7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11A6C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83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F6976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14:paraId="40BD246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30190" w14:textId="77777777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BB30" w14:textId="77777777">
            <w:pPr>
              <w:spacing w:after="0"/>
            </w:pPr>
            <w:r>
              <w:rPr>
                <w:sz w:val="17"/>
              </w:rPr>
              <w:t>Open the target step from the left sidebar and review its Parameters.</w:t>
            </w:r>
          </w:p>
        </w:tc>
      </w:tr>
      <w:tr w14:paraId="05B912D6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9BEDC" w14:textId="77777777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BD00B" w14:textId="77777777">
            <w:pPr>
              <w:spacing w:after="0"/>
            </w:pPr>
            <w:r>
              <w:rPr>
                <w:sz w:val="17"/>
              </w:rPr>
              <w:t>Click Run Current Step and monitor the progress indicator and Log.</w:t>
            </w:r>
          </w:p>
        </w:tc>
      </w:tr>
      <w:tr w14:paraId="207842E5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4513E" w14:textId="77777777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D8586" w14:textId="77777777">
            <w:pPr>
              <w:spacing w:after="0"/>
            </w:pPr>
            <w:r>
              <w:rPr>
                <w:sz w:val="17"/>
              </w:rPr>
              <w:t>Wait for completion. The Log must contain no Error or Task failed message, and Confirm and Continue must be enabled.</w:t>
            </w:r>
          </w:p>
        </w:tc>
      </w:tr>
      <w:tr w14:paraId="152F7A53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AFD2B" w14:textId="77777777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F3A60" w14:textId="77777777">
            <w:pPr>
              <w:spacing w:after="0"/>
            </w:pPr>
            <w:r>
              <w:rPr>
                <w:sz w:val="17"/>
              </w:rPr>
              <w:t>Click Confirm and Continue to advance to the next step.</w:t>
            </w:r>
          </w:p>
        </w:tc>
      </w:tr>
    </w:tbl>
    <w:p w14:paraId="597488F5" w14:textId="77777777">
      <w:pPr>
        <w:spacing w:after="20"/>
      </w:pPr>
    </w:p>
    <w:p w14:paraId="66B711CB" w14:textId="77777777">
      <w:pPr>
        <w:pStyle w:val="21"/>
      </w:pPr>
      <w:r>
        <w:t>System requirements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14:paraId="4E752B5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27D14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25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5240E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 w14:paraId="6016C8C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C84EC" w14:textId="77777777">
            <w:pPr>
              <w:spacing w:after="0"/>
            </w:pPr>
            <w:r>
              <w:rPr>
                <w:sz w:val="16"/>
              </w:rPr>
              <w:t>Operating system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3FCD1" w14:textId="77777777">
            <w:pPr>
              <w:spacing w:after="0"/>
            </w:pPr>
            <w:r>
              <w:rPr>
                <w:sz w:val="16"/>
              </w:rPr>
              <w:t>Windows 10/11 x64</w:t>
            </w:r>
          </w:p>
        </w:tc>
      </w:tr>
      <w:tr w14:paraId="4C032C5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13C4E" w14:textId="77777777">
            <w:pPr>
              <w:spacing w:after="0"/>
            </w:pPr>
            <w:r>
              <w:rPr>
                <w:sz w:val="16"/>
              </w:rPr>
              <w:t>Memory</w:t>
            </w:r>
          </w:p>
        </w:tc>
        <w:tc>
          <w:tcPr>
            <w:tcW w:w="725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35726" w14:textId="77777777">
            <w:pPr>
              <w:spacing w:after="0"/>
            </w:pPr>
            <w:r>
              <w:rPr>
                <w:sz w:val="16"/>
              </w:rPr>
              <w:t>16 GB or more; large H5AD files may require additional memory</w:t>
            </w:r>
          </w:p>
        </w:tc>
      </w:tr>
      <w:tr w14:paraId="5914B43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8CFC9" w14:textId="77777777">
            <w:pPr>
              <w:spacing w:after="0"/>
            </w:pPr>
            <w:r>
              <w:rPr>
                <w:sz w:val="16"/>
              </w:rPr>
              <w:t>Disk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8251E" w14:textId="77777777">
            <w:pPr>
              <w:spacing w:after="0"/>
            </w:pPr>
            <w:r>
              <w:rPr>
                <w:sz w:val="16"/>
              </w:rPr>
              <w:t>About 5 GB for installation, plus space for project cache and exports</w:t>
            </w:r>
          </w:p>
        </w:tc>
      </w:tr>
      <w:tr w14:paraId="4169EA19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32E74" w14:textId="77777777">
            <w:pPr>
              <w:spacing w:after="0"/>
            </w:pPr>
            <w:r>
              <w:rPr>
                <w:sz w:val="16"/>
              </w:rPr>
              <w:t>Project directory</w:t>
            </w:r>
          </w:p>
        </w:tc>
        <w:tc>
          <w:tcPr>
            <w:tcW w:w="725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9C4A6" w14:textId="77777777">
            <w:pPr>
              <w:spacing w:after="0"/>
            </w:pPr>
            <w:r>
              <w:rPr>
                <w:sz w:val="16"/>
              </w:rPr>
              <w:t>Use a data drive and keep original data read-only</w:t>
            </w:r>
          </w:p>
        </w:tc>
      </w:tr>
      <w:tr w14:paraId="31B1DF6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69A1A" w14:textId="77777777">
            <w:pPr>
              <w:spacing w:after="0"/>
            </w:pPr>
            <w:r>
              <w:rPr>
                <w:sz w:val="16"/>
              </w:rPr>
              <w:t>Network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282D5" w14:textId="77777777">
            <w:pPr>
              <w:spacing w:after="0"/>
            </w:pPr>
            <w:r>
              <w:rPr>
                <w:sz w:val="16"/>
              </w:rPr>
              <w:t>Not required for routine analysis; required for AI providers and some online resources</w:t>
            </w:r>
          </w:p>
        </w:tc>
      </w:tr>
    </w:tbl>
    <w:p w14:paraId="0FD32FFB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5F81D184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E47C50" w14:textId="77777777">
            <w:pPr>
              <w:spacing w:after="0"/>
            </w:pPr>
            <w:r>
              <w:rPr>
                <w:b/>
                <w:color w:val="2E75B6"/>
              </w:rPr>
              <w:t xml:space="preserve">Screenshot key  </w:t>
            </w:r>
            <w:r>
              <w:t>The numbered red callouts in each screenshot correspond one-to-one with the numbered instructions immediately below it.</w:t>
            </w:r>
          </w:p>
        </w:tc>
      </w:tr>
    </w:tbl>
    <w:p w14:paraId="124FA799" w14:textId="77777777">
      <w:r>
        <w:br w:type="page"/>
      </w:r>
    </w:p>
    <w:p w14:paraId="14DD489D" w14:textId="77777777">
      <w:pPr>
        <w:pStyle w:val="11"/>
      </w:pPr>
      <w:bookmarkStart w:id="1" w:name="_Toc237184152"/>
      <w:r>
        <w:lastRenderedPageBreak/>
        <w:t>Contents</w:t>
      </w:r>
      <w:bookmarkEnd w:id="1"/>
    </w:p>
    <w:p w14:paraId="4140C9E6" w14:textId="2C6B3D71">
      <w:pPr>
        <w:pStyle w:val="TOC1"/>
        <w:tabs>
          <w:tab w:val="right" w:leader="dot" w:pos="9628"/>
        </w:tabs>
        <w:rPr>
          <w:rFonts w:hint="eastAsia"/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7184151" w:history="1">
        <w:r>
          <w:rPr>
            <w:rStyle w:val="a7"/>
            <w:noProof/>
          </w:rPr>
          <w:t>Getting Started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E6334" w14:textId="6C071660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2" w:history="1">
        <w:r>
          <w:rPr>
            <w:rStyle w:val="a7"/>
            <w:noProof/>
          </w:rPr>
          <w:t>Contents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0BC41" w14:textId="77475ED7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3" w:history="1">
        <w:r>
          <w:rPr>
            <w:rStyle w:val="a7"/>
            <w:noProof/>
          </w:rPr>
          <w:t>Install, Launch, and Uninstall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2AE8F" w14:textId="2967787B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4" w:history="1">
        <w:r>
          <w:rPr>
            <w:rStyle w:val="a7"/>
            <w:noProof/>
          </w:rPr>
          <w:t>Launch, Activation, and Uninstall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F461E" w14:textId="05D87F5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5" w:history="1">
        <w:r>
          <w:rPr>
            <w:rStyle w:val="a7"/>
            <w:noProof/>
          </w:rPr>
          <w:t>Project and Task Management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1C025" w14:textId="4F1CE294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6" w:history="1">
        <w:r>
          <w:rPr>
            <w:rStyle w:val="a7"/>
            <w:noProof/>
          </w:rPr>
          <w:t>01  Data Import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51DB7" w14:textId="3B7FC5AD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7" w:history="1">
        <w:r>
          <w:rPr>
            <w:rStyle w:val="a7"/>
            <w:noProof/>
          </w:rPr>
          <w:t>01  Supported Data Formats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1B9E4" w14:textId="3E7282FC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8" w:history="1">
        <w:r>
          <w:rPr>
            <w:rStyle w:val="a7"/>
            <w:noProof/>
          </w:rPr>
          <w:t>01  Import a Matrix, Archive, or H5AD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53374" w14:textId="0D393EF6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59" w:history="1">
        <w:r>
          <w:rPr>
            <w:rStyle w:val="a7"/>
            <w:noProof/>
          </w:rPr>
          <w:t>01  Confirm H5AD Samples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B39186" w14:textId="413A2C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0" w:history="1">
        <w:r>
          <w:rPr>
            <w:rStyle w:val="a7"/>
            <w:noProof/>
          </w:rPr>
          <w:t>01  Complete GSE250245 Import Example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2BE35" w14:textId="1069D326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1" w:history="1">
        <w:r>
          <w:rPr>
            <w:rStyle w:val="a7"/>
            <w:noProof/>
          </w:rPr>
          <w:t>02  Quality Control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7F343" w14:textId="1F76573E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2" w:history="1">
        <w:r>
          <w:rPr>
            <w:rStyle w:val="a7"/>
            <w:noProof/>
          </w:rPr>
          <w:t>03  Doublet Removal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C1C7D" w14:textId="306AAC1B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3" w:history="1">
        <w:r>
          <w:rPr>
            <w:rStyle w:val="a7"/>
            <w:noProof/>
          </w:rPr>
          <w:t>04  Batch Correction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4DEEBB" w14:textId="08241016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4" w:history="1">
        <w:r>
          <w:rPr>
            <w:rStyle w:val="a7"/>
            <w:noProof/>
          </w:rPr>
          <w:t>05  Merge and Clustering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C5793" w14:textId="46B79FEF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5" w:history="1">
        <w:r>
          <w:rPr>
            <w:rStyle w:val="a7"/>
            <w:noProof/>
          </w:rPr>
          <w:t>06  Cell-Type Annotation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85B7F" w14:textId="6D625BA2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6" w:history="1">
        <w:r>
          <w:rPr>
            <w:rStyle w:val="a7"/>
            <w:noProof/>
          </w:rPr>
          <w:t>07  Subcluster Analysis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EB00B6" w14:textId="62BA7DC8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7" w:history="1">
        <w:r>
          <w:rPr>
            <w:rStyle w:val="a7"/>
            <w:noProof/>
          </w:rPr>
          <w:t>08  Differential Expression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871D68" w14:textId="4DDC62C9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8" w:history="1">
        <w:r>
          <w:rPr>
            <w:rStyle w:val="a7"/>
            <w:noProof/>
          </w:rPr>
          <w:t>09  GSEA Enrichment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01013" w14:textId="5152B8B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69" w:history="1">
        <w:r>
          <w:rPr>
            <w:rStyle w:val="a7"/>
            <w:noProof/>
          </w:rPr>
          <w:t>10  Single-Gene Analysis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F574F5" w14:textId="081F2413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0" w:history="1">
        <w:r>
          <w:rPr>
            <w:rStyle w:val="a7"/>
            <w:noProof/>
          </w:rPr>
          <w:t>11  Gene Set Scoring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949C7E" w14:textId="7BA9D736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1" w:history="1">
        <w:r>
          <w:rPr>
            <w:rStyle w:val="a7"/>
            <w:noProof/>
          </w:rPr>
          <w:t>12  Cell–Cell Communication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45E2C" w14:textId="7A489D88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2" w:history="1">
        <w:r>
          <w:rPr>
            <w:rStyle w:val="a7"/>
            <w:noProof/>
          </w:rPr>
          <w:t>13  Cell-Cycle Scoring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D9401" w14:textId="299736E0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3" w:history="1">
        <w:r>
          <w:rPr>
            <w:rStyle w:val="a7"/>
            <w:noProof/>
          </w:rPr>
          <w:t>14  Trajectory Analysis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3B1EB" w14:textId="71858A8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4" w:history="1">
        <w:r>
          <w:rPr>
            <w:rStyle w:val="a7"/>
            <w:noProof/>
          </w:rPr>
          <w:t>15  Export Report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D701E" w14:textId="71F96F67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5" w:history="1">
        <w:r>
          <w:rPr>
            <w:rStyle w:val="a7"/>
            <w:noProof/>
          </w:rPr>
          <w:t>16  AI Scientific Manuscript Agent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31087" w14:textId="2295B5E3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6" w:history="1">
        <w:r>
          <w:rPr>
            <w:rStyle w:val="a7"/>
            <w:noProof/>
          </w:rPr>
          <w:t>Common Parameter Reference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DFEE2" w14:textId="253193B2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37184177" w:history="1">
        <w:r>
          <w:rPr>
            <w:rStyle w:val="a7"/>
            <w:noProof/>
          </w:rPr>
          <w:t>Troubleshooting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_Toc237184177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77313" w14:textId="6497F6E5">
      <w:pPr>
        <w:spacing w:after="200"/>
      </w:pPr>
      <w:r>
        <w:fldChar w:fldCharType="end"/>
      </w:r>
    </w:p>
    <w:p w14:paraId="524650AE" w14:textId="77777777">
      <w:r>
        <w:br w:type="page"/>
      </w:r>
    </w:p>
    <w:p w14:paraId="6E920690" w14:textId="77777777">
      <w:pPr>
        <w:pStyle w:val="11"/>
      </w:pPr>
      <w:bookmarkStart w:id="2" w:name="_Toc237184153"/>
      <w:r>
        <w:lastRenderedPageBreak/>
        <w:t>Install, Launch, and Uninstall</w:t>
      </w:r>
      <w:bookmarkEnd w:id="2"/>
    </w:p>
    <w:p w14:paraId="7312BCF8" w14:textId="77777777">
      <w:r>
        <w:t>Run the scFlow Studio Agent installer. To avoid using the system drive, choose a data-drive destination in the setup wizard.</w:t>
      </w:r>
    </w:p>
    <w:p w14:paraId="30E85D45" w14:textId="77777777">
      <w:pPr>
        <w:pStyle w:val="21"/>
      </w:pPr>
      <w:r>
        <w:t>Choose the installation directory</w:t>
      </w:r>
    </w:p>
    <w:p w14:paraId="5D4EFE8D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582210BF" wp14:editId="2DE95EA8">
            <wp:extent cx="4248000" cy="3249818"/>
            <wp:effectExtent l="0" t="0" r="0" b="0"/>
            <wp:docPr id="1" name="Picture 1" descr="Figure 1  Choose the installation directory" title="Figure 1  Choose the installation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staller_destination_e_dri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24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2EF" w14:textId="77777777">
      <w:pPr>
        <w:pStyle w:val="1"/>
      </w:pPr>
      <w:r>
        <w:t>Figure 1  Choose the installation directory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204ED5FC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CB141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8C9B5" w14:textId="77777777">
            <w:pPr>
              <w:spacing w:after="0"/>
            </w:pPr>
            <w:r>
              <w:rPr>
                <w:sz w:val="17"/>
              </w:rPr>
              <w:t>Review or enter the destination folder.</w:t>
            </w:r>
          </w:p>
        </w:tc>
      </w:tr>
      <w:tr w14:paraId="2DC79EF8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3E4FE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4907A" w14:textId="77777777">
            <w:pPr>
              <w:spacing w:after="0"/>
            </w:pPr>
            <w:r>
              <w:rPr>
                <w:sz w:val="17"/>
              </w:rPr>
              <w:t>Click Browse to select another folder.</w:t>
            </w:r>
          </w:p>
        </w:tc>
      </w:tr>
      <w:tr w14:paraId="3297418C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A534E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AAE8E" w14:textId="77777777">
            <w:pPr>
              <w:spacing w:after="0"/>
            </w:pPr>
            <w:r>
              <w:rPr>
                <w:sz w:val="17"/>
              </w:rPr>
              <w:t>After confirming the path, click Next.</w:t>
            </w:r>
          </w:p>
        </w:tc>
      </w:tr>
    </w:tbl>
    <w:p w14:paraId="6FBA6808" w14:textId="77777777">
      <w:pPr>
        <w:spacing w:after="20"/>
      </w:pPr>
    </w:p>
    <w:p w14:paraId="5D35E261" w14:textId="77777777">
      <w:pPr>
        <w:pStyle w:val="21"/>
      </w:pPr>
      <w:r>
        <w:lastRenderedPageBreak/>
        <w:t>Continue installation</w:t>
      </w:r>
    </w:p>
    <w:p w14:paraId="773A9D98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6CE12E37" wp14:editId="15B6F65C">
            <wp:extent cx="3888000" cy="2974410"/>
            <wp:effectExtent l="0" t="0" r="0" b="0"/>
            <wp:docPr id="2" name="Picture 2" descr="Figure 2  Choose the Start Menu folder" title="Figure 2  Choose the Start Menu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staller_read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9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C1D0" w14:textId="77777777">
      <w:pPr>
        <w:pStyle w:val="1"/>
      </w:pPr>
      <w:r>
        <w:t>Figure 2  Choose the Start Menu folder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4894962B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40A20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544FD" w14:textId="77777777">
            <w:pPr>
              <w:spacing w:after="0"/>
            </w:pPr>
            <w:r>
              <w:rPr>
                <w:sz w:val="17"/>
              </w:rPr>
              <w:t>Confirm the Start Menu folder name.</w:t>
            </w:r>
          </w:p>
        </w:tc>
      </w:tr>
      <w:tr w14:paraId="1B2F2E91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1DDFF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E221A" w14:textId="77777777">
            <w:pPr>
              <w:spacing w:after="0"/>
            </w:pPr>
            <w:r>
              <w:rPr>
                <w:sz w:val="17"/>
              </w:rPr>
              <w:t>Click Browse if you need to change it.</w:t>
            </w:r>
          </w:p>
        </w:tc>
      </w:tr>
      <w:tr w14:paraId="15ADBBB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A3276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EC524" w14:textId="77777777">
            <w:pPr>
              <w:spacing w:after="0"/>
            </w:pPr>
            <w:r>
              <w:rPr>
                <w:sz w:val="17"/>
              </w:rPr>
              <w:t>Click Next and complete the setup wizard.</w:t>
            </w:r>
          </w:p>
        </w:tc>
      </w:tr>
    </w:tbl>
    <w:p w14:paraId="45061EF6" w14:textId="77777777">
      <w:pPr>
        <w:spacing w:after="20"/>
      </w:pPr>
    </w:p>
    <w:p w14:paraId="16DE9CE9" w14:textId="77777777">
      <w:r>
        <w:br w:type="page"/>
      </w:r>
    </w:p>
    <w:p w14:paraId="75364C71" w14:textId="77777777">
      <w:pPr>
        <w:pStyle w:val="11"/>
      </w:pPr>
      <w:bookmarkStart w:id="3" w:name="_Toc237184154"/>
      <w:r>
        <w:lastRenderedPageBreak/>
        <w:t>Launch, Activation, and Uninstall</w:t>
      </w:r>
      <w:bookmarkEnd w:id="3"/>
    </w:p>
    <w:p w14:paraId="3F1F74ED" w14:textId="77777777">
      <w:pPr>
        <w:pStyle w:val="21"/>
      </w:pPr>
      <w:r>
        <w:t>First launch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391"/>
      </w:tblGrid>
      <w:tr w14:paraId="2099C957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574E6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83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27C5C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14:paraId="0C56705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DC215" w14:textId="77777777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B714D" w14:textId="77777777">
            <w:pPr>
              <w:spacing w:after="0"/>
            </w:pPr>
            <w:r>
              <w:rPr>
                <w:sz w:val="17"/>
              </w:rPr>
              <w:t>Double-click scFlow Studio Agent V0.1.0.exe.</w:t>
            </w:r>
          </w:p>
        </w:tc>
      </w:tr>
      <w:tr w14:paraId="43A60E85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16E02" w14:textId="77777777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634D7" w14:textId="77777777">
            <w:pPr>
              <w:spacing w:after="0"/>
            </w:pPr>
            <w:r>
              <w:rPr>
                <w:sz w:val="17"/>
              </w:rPr>
              <w:t>Open Environment Diagnostics and confirm that the bundled R runtime is selected.</w:t>
            </w:r>
          </w:p>
        </w:tc>
      </w:tr>
      <w:tr w14:paraId="071345B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EC3E" w14:textId="77777777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EDDE3" w14:textId="77777777">
            <w:pPr>
              <w:spacing w:after="0"/>
            </w:pPr>
            <w:r>
              <w:rPr>
                <w:sz w:val="17"/>
              </w:rPr>
              <w:t>If an activation window appears, enter a valid license and continue.</w:t>
            </w:r>
          </w:p>
        </w:tc>
      </w:tr>
      <w:tr w14:paraId="26D98C57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6B894" w14:textId="77777777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3CE99" w14:textId="77777777">
            <w:pPr>
              <w:spacing w:after="0"/>
            </w:pPr>
            <w:r>
              <w:rPr>
                <w:sz w:val="17"/>
              </w:rPr>
              <w:t>Create or open a project only after the main application window is available.</w:t>
            </w:r>
          </w:p>
        </w:tc>
      </w:tr>
    </w:tbl>
    <w:p w14:paraId="02E9A766" w14:textId="77777777">
      <w:pPr>
        <w:spacing w:after="20"/>
      </w:pPr>
    </w:p>
    <w:p w14:paraId="58C79399" w14:textId="77777777">
      <w:pPr>
        <w:pStyle w:val="21"/>
      </w:pPr>
      <w:r>
        <w:t>Uninstall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391"/>
      </w:tblGrid>
      <w:tr w14:paraId="1834E3C5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6407A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83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48EBF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14:paraId="12769A6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2C0C1" w14:textId="77777777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981D5" w14:textId="77777777">
            <w:pPr>
              <w:spacing w:after="0"/>
            </w:pPr>
            <w:r>
              <w:rPr>
                <w:sz w:val="17"/>
              </w:rPr>
              <w:t>Close scFlow Studio Agent and back up the project directory and original data.</w:t>
            </w:r>
          </w:p>
        </w:tc>
      </w:tr>
      <w:tr w14:paraId="5E6191AE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0F1D77" w14:textId="77777777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A3E37" w14:textId="77777777">
            <w:pPr>
              <w:spacing w:after="0"/>
            </w:pPr>
            <w:r>
              <w:rPr>
                <w:sz w:val="17"/>
              </w:rPr>
              <w:t>Run unins_scFlowStudioAgent.exe from the installation directory, or use Windows Installed apps.</w:t>
            </w:r>
          </w:p>
        </w:tc>
      </w:tr>
      <w:tr w14:paraId="472C9FDA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EA7E9" w14:textId="77777777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C7E79" w14:textId="77777777">
            <w:pPr>
              <w:spacing w:after="0"/>
            </w:pPr>
            <w:r>
              <w:rPr>
                <w:sz w:val="17"/>
              </w:rPr>
              <w:t>Confirm removal when Windows displays the uninstall prompt.</w:t>
            </w:r>
          </w:p>
        </w:tc>
      </w:tr>
    </w:tbl>
    <w:p w14:paraId="15FD5B5E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A86E00"/>
          <w:left w:val="single" w:sz="8" w:space="0" w:color="A86E00"/>
          <w:bottom w:val="single" w:sz="8" w:space="0" w:color="A86E00"/>
          <w:right w:val="single" w:sz="8" w:space="0" w:color="A86E00"/>
          <w:insideH w:val="single" w:sz="8" w:space="0" w:color="A86E00"/>
          <w:insideV w:val="single" w:sz="8" w:space="0" w:color="A86E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268E78BC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A6F194" w14:textId="77777777">
            <w:pPr>
              <w:spacing w:after="0"/>
            </w:pPr>
            <w:r>
              <w:rPr>
                <w:b/>
                <w:color w:val="A86E00"/>
              </w:rPr>
              <w:t xml:space="preserve">Important  </w:t>
            </w:r>
            <w:r>
              <w:t>The project directory is separate from the installation directory. Back it up before uninstalling or upgrading the application.</w:t>
            </w:r>
          </w:p>
        </w:tc>
      </w:tr>
    </w:tbl>
    <w:p w14:paraId="42BA8017" w14:textId="77777777">
      <w:r>
        <w:br w:type="page"/>
      </w:r>
    </w:p>
    <w:p w14:paraId="07D0CA40" w14:textId="77777777">
      <w:pPr>
        <w:pStyle w:val="11"/>
      </w:pPr>
      <w:bookmarkStart w:id="4" w:name="_Toc237184155"/>
      <w:r>
        <w:lastRenderedPageBreak/>
        <w:t>Project and Task Management</w:t>
      </w:r>
      <w:bookmarkEnd w:id="4"/>
    </w:p>
    <w:p w14:paraId="6FEBAF32" w14:textId="77777777">
      <w:r>
        <w:t>The project directory stores analysis configuration, cache, and export references. It is separate from the application installation directory and should be placed on a data drive with sufficient free space.</w:t>
      </w:r>
    </w:p>
    <w:p w14:paraId="3FAD08FA" w14:textId="77777777">
      <w:pPr>
        <w:pStyle w:val="21"/>
      </w:pPr>
      <w:r>
        <w:t>Top toolbar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14:paraId="7F7D55C3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E2361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021CC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When to use it</w:t>
            </w:r>
          </w:p>
        </w:tc>
      </w:tr>
      <w:tr w14:paraId="659CAC2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50250F" w14:textId="77777777">
            <w:pPr>
              <w:spacing w:after="0"/>
            </w:pPr>
            <w:r>
              <w:rPr>
                <w:sz w:val="16"/>
              </w:rPr>
              <w:t>New Project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A76CE" w14:textId="77777777">
            <w:pPr>
              <w:spacing w:after="0"/>
            </w:pPr>
            <w:r>
              <w:rPr>
                <w:sz w:val="16"/>
              </w:rPr>
              <w:t>Start a project. Set Project Directory before adding samples.</w:t>
            </w:r>
          </w:p>
        </w:tc>
      </w:tr>
      <w:tr w14:paraId="27183F2D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63767" w14:textId="77777777">
            <w:pPr>
              <w:spacing w:after="0"/>
            </w:pPr>
            <w:r>
              <w:rPr>
                <w:sz w:val="16"/>
              </w:rPr>
              <w:t>Open Project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84A54" w14:textId="77777777">
            <w:pPr>
              <w:spacing w:after="0"/>
            </w:pPr>
            <w:r>
              <w:rPr>
                <w:sz w:val="16"/>
              </w:rPr>
              <w:t>Continue an existing project. Verify the project name, sample count, and current step after opening.</w:t>
            </w:r>
          </w:p>
        </w:tc>
      </w:tr>
      <w:tr w14:paraId="72AEBB7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C5FD6" w14:textId="77777777">
            <w:pPr>
              <w:spacing w:after="0"/>
            </w:pPr>
            <w:r>
              <w:rPr>
                <w:sz w:val="16"/>
              </w:rPr>
              <w:t>Save Project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58150" w14:textId="77777777">
            <w:pPr>
              <w:spacing w:after="0"/>
            </w:pPr>
            <w:r>
              <w:rPr>
                <w:sz w:val="16"/>
              </w:rPr>
              <w:t>Save after changing samples, groups, or important parameters, and again before exiting.</w:t>
            </w:r>
          </w:p>
        </w:tc>
      </w:tr>
      <w:tr w14:paraId="78A6BB75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AC987" w14:textId="77777777">
            <w:pPr>
              <w:spacing w:after="0"/>
            </w:pPr>
            <w:r>
              <w:rPr>
                <w:sz w:val="16"/>
              </w:rPr>
              <w:t>Run Current Step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21F48" w14:textId="77777777">
            <w:pPr>
              <w:spacing w:after="0"/>
            </w:pPr>
            <w:r>
              <w:rPr>
                <w:sz w:val="16"/>
              </w:rPr>
              <w:t>Run the selected sidebar step. Some pages also provide an internal button for the same main task.</w:t>
            </w:r>
          </w:p>
        </w:tc>
      </w:tr>
      <w:tr w14:paraId="71E4D0A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28173" w14:textId="77777777">
            <w:pPr>
              <w:spacing w:after="0"/>
            </w:pPr>
            <w:r>
              <w:rPr>
                <w:sz w:val="16"/>
              </w:rPr>
              <w:t>Stop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CDBB0" w14:textId="77777777">
            <w:pPr>
              <w:spacing w:after="0"/>
            </w:pPr>
            <w:r>
              <w:rPr>
                <w:sz w:val="16"/>
              </w:rPr>
              <w:t>Request that the running task stop, then wait for the background process to finish.</w:t>
            </w:r>
          </w:p>
        </w:tc>
      </w:tr>
      <w:tr w14:paraId="76D564B8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51E62" w14:textId="77777777">
            <w:pPr>
              <w:spacing w:after="0"/>
            </w:pPr>
            <w:r>
              <w:rPr>
                <w:sz w:val="16"/>
              </w:rPr>
              <w:t>Environment Diagnostics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B8AB8" w14:textId="77777777">
            <w:pPr>
              <w:spacing w:after="0"/>
            </w:pPr>
            <w:r>
              <w:rPr>
                <w:sz w:val="16"/>
              </w:rPr>
              <w:t>Check before the first QC run or when R fails; prefer the bundled R runtime.</w:t>
            </w:r>
          </w:p>
        </w:tc>
      </w:tr>
    </w:tbl>
    <w:p w14:paraId="7385E9AA" w14:textId="77777777">
      <w:pPr>
        <w:spacing w:after="20"/>
      </w:pPr>
    </w:p>
    <w:p w14:paraId="736224A7" w14:textId="77777777">
      <w:pPr>
        <w:pStyle w:val="21"/>
      </w:pPr>
      <w:r>
        <w:t>Bottom controls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14:paraId="34FB1F94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50B4A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EC9AA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14:paraId="24008C9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739AD" w14:textId="77777777">
            <w:pPr>
              <w:spacing w:after="0"/>
            </w:pPr>
            <w:r>
              <w:rPr>
                <w:sz w:val="16"/>
              </w:rPr>
              <w:t>Restore Defaults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C6236" w14:textId="77777777">
            <w:pPr>
              <w:spacing w:after="0"/>
            </w:pPr>
            <w:r>
              <w:rPr>
                <w:sz w:val="16"/>
              </w:rPr>
              <w:t>Restore the default parameters for the current step; this does not rerun the step.</w:t>
            </w:r>
          </w:p>
        </w:tc>
      </w:tr>
      <w:tr w14:paraId="160B0FEE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DF73C" w14:textId="77777777">
            <w:pPr>
              <w:spacing w:after="0"/>
            </w:pPr>
            <w:r>
              <w:rPr>
                <w:sz w:val="16"/>
              </w:rPr>
              <w:t>Clear Step Result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2A119" w14:textId="77777777">
            <w:pPr>
              <w:spacing w:after="0"/>
            </w:pPr>
            <w:r>
              <w:rPr>
                <w:sz w:val="16"/>
              </w:rPr>
              <w:t>Remove the current step result after confirming that its cache is no longer needed.</w:t>
            </w:r>
          </w:p>
        </w:tc>
      </w:tr>
      <w:tr w14:paraId="072FF8F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EDAC1" w14:textId="77777777">
            <w:pPr>
              <w:spacing w:after="0"/>
            </w:pPr>
            <w:r>
              <w:rPr>
                <w:sz w:val="16"/>
              </w:rPr>
              <w:t>Confirm and Continue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AE7EB" w14:textId="77777777">
            <w:pPr>
              <w:spacing w:after="0"/>
            </w:pPr>
            <w:r>
              <w:rPr>
                <w:sz w:val="16"/>
              </w:rPr>
              <w:t>Confirm a successful task and advance to the next step.</w:t>
            </w:r>
          </w:p>
        </w:tc>
      </w:tr>
    </w:tbl>
    <w:p w14:paraId="566FDAD9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A86E00"/>
          <w:left w:val="single" w:sz="8" w:space="0" w:color="A86E00"/>
          <w:bottom w:val="single" w:sz="8" w:space="0" w:color="A86E00"/>
          <w:right w:val="single" w:sz="8" w:space="0" w:color="A86E00"/>
          <w:insideH w:val="single" w:sz="8" w:space="0" w:color="A86E00"/>
          <w:insideV w:val="single" w:sz="8" w:space="0" w:color="A86E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51D7DFEF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BA7FA" w14:textId="77777777">
            <w:pPr>
              <w:spacing w:after="0"/>
            </w:pPr>
            <w:r>
              <w:rPr>
                <w:b/>
                <w:color w:val="A86E00"/>
              </w:rPr>
              <w:t xml:space="preserve">Recommendation  </w:t>
            </w:r>
            <w:r>
              <w:t>Do not create projects inside the installation directory. Back up project directories and original data separately before uninstalling or upgrading.</w:t>
            </w:r>
          </w:p>
        </w:tc>
      </w:tr>
    </w:tbl>
    <w:p w14:paraId="61B6C3EA" w14:textId="77777777">
      <w:r>
        <w:br w:type="page"/>
      </w:r>
    </w:p>
    <w:p w14:paraId="3B86DE05" w14:textId="77777777">
      <w:pPr>
        <w:pStyle w:val="11"/>
      </w:pPr>
      <w:bookmarkStart w:id="5" w:name="_Toc237184156"/>
      <w:r>
        <w:lastRenderedPageBreak/>
        <w:t>01  Data Import</w:t>
      </w:r>
      <w:bookmarkEnd w:id="5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65127C24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0042E1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Create a project, register samples, groups, species, and data paths, and connect supported inputs to the existing QC workflow.</w:t>
            </w:r>
          </w:p>
        </w:tc>
      </w:tr>
    </w:tbl>
    <w:p w14:paraId="11315915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2715DCFF" wp14:editId="0CCBF79C">
            <wp:extent cx="5472000" cy="2928375"/>
            <wp:effectExtent l="0" t="0" r="0" b="0"/>
            <wp:docPr id="3" name="Picture 3" descr="Figure 01-1  Data Import controls" title="Figure 01-1  Data Import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window_data_im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329A" w14:textId="77777777">
      <w:pPr>
        <w:pStyle w:val="1"/>
      </w:pPr>
      <w:r>
        <w:t>Figure 01-1  Data Import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3E56064B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90BB9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38083" w14:textId="77777777">
            <w:pPr>
              <w:spacing w:after="0"/>
            </w:pPr>
            <w:r>
              <w:rPr>
                <w:sz w:val="17"/>
              </w:rPr>
              <w:t>Enter Project name, Project Directory, data storage mode, and plot theme.</w:t>
            </w:r>
          </w:p>
        </w:tc>
      </w:tr>
      <w:tr w14:paraId="7C2C8225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C49E2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B2662" w14:textId="77777777">
            <w:pPr>
              <w:spacing w:after="0"/>
            </w:pPr>
            <w:r>
              <w:rPr>
                <w:sz w:val="17"/>
              </w:rPr>
              <w:t>Click Create Project.</w:t>
            </w:r>
          </w:p>
        </w:tc>
      </w:tr>
      <w:tr w14:paraId="0BB21626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9D215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D4739" w14:textId="77777777">
            <w:pPr>
              <w:spacing w:after="0"/>
            </w:pPr>
            <w:r>
              <w:rPr>
                <w:sz w:val="17"/>
              </w:rPr>
              <w:t>Click Add Sample or Import Matrix File; after adding data, click Check All Data.</w:t>
            </w:r>
          </w:p>
        </w:tc>
      </w:tr>
      <w:tr w14:paraId="28235499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86B5F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C04DC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5E1CF8A1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141E7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5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A3056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187B2AD5" w14:textId="77777777">
      <w:pPr>
        <w:spacing w:after="20"/>
      </w:pPr>
    </w:p>
    <w:p w14:paraId="4826E7E6" w14:textId="77777777">
      <w:r>
        <w:br w:type="page"/>
      </w:r>
    </w:p>
    <w:p w14:paraId="179B3714" w14:textId="77777777">
      <w:pPr>
        <w:pStyle w:val="11"/>
      </w:pPr>
      <w:bookmarkStart w:id="6" w:name="_Toc237184157"/>
      <w:r>
        <w:lastRenderedPageBreak/>
        <w:t>01  Supported Data Formats</w:t>
      </w:r>
      <w:bookmarkEnd w:id="6"/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4876"/>
      </w:tblGrid>
      <w:tr w14:paraId="3BE1850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CA98C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Entry point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12AEF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w="487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9132E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Select</w:t>
            </w:r>
          </w:p>
        </w:tc>
      </w:tr>
      <w:tr w14:paraId="409B13A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95C05" w14:textId="77777777">
            <w:pPr>
              <w:spacing w:after="0"/>
            </w:pPr>
            <w:r>
              <w:rPr>
                <w:sz w:val="16"/>
              </w:rPr>
              <w:t>Add Sample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C1D08" w14:textId="77777777">
            <w:pPr>
              <w:spacing w:after="0"/>
            </w:pPr>
            <w:r>
              <w:rPr>
                <w:sz w:val="16"/>
              </w:rPr>
              <w:t>10X Matrix Folder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C2A75B" w14:textId="77777777">
            <w:pPr>
              <w:spacing w:after="0"/>
            </w:pPr>
            <w:r>
              <w:rPr>
                <w:sz w:val="16"/>
              </w:rPr>
              <w:t>One sample folder containing matrix.mtx, barcodes.tsv, and features.tsv</w:t>
            </w:r>
          </w:p>
        </w:tc>
      </w:tr>
      <w:tr w14:paraId="4E2A45D8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E5726" w14:textId="77777777">
            <w:pPr>
              <w:spacing w:after="0"/>
            </w:pPr>
            <w:r>
              <w:rPr>
                <w:sz w:val="16"/>
              </w:rPr>
              <w:t>Import Matrix File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1FFFC" w14:textId="77777777">
            <w:pPr>
              <w:spacing w:after="0"/>
            </w:pPr>
            <w:r>
              <w:rPr>
                <w:sz w:val="16"/>
              </w:rPr>
              <w:t>TXT / TSV / CSV / .gz</w:t>
            </w:r>
          </w:p>
        </w:tc>
        <w:tc>
          <w:tcPr>
            <w:tcW w:w="48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61C59" w14:textId="77777777">
            <w:pPr>
              <w:spacing w:after="0"/>
            </w:pPr>
            <w:r>
              <w:rPr>
                <w:sz w:val="16"/>
              </w:rPr>
              <w:t>A gene-by-cell expression matrix</w:t>
            </w:r>
          </w:p>
        </w:tc>
      </w:tr>
      <w:tr w14:paraId="6859D7E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63C32" w14:textId="77777777">
            <w:pPr>
              <w:spacing w:after="0"/>
            </w:pPr>
            <w:r>
              <w:rPr>
                <w:sz w:val="16"/>
              </w:rPr>
              <w:t>Import Matrix File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02F78" w14:textId="77777777">
            <w:pPr>
              <w:spacing w:after="0"/>
            </w:pPr>
            <w:r>
              <w:rPr>
                <w:sz w:val="16"/>
              </w:rPr>
              <w:t>TAR / TAR.GZ / TGZ / RAR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9D840" w14:textId="77777777">
            <w:pPr>
              <w:spacing w:after="0"/>
            </w:pPr>
            <w:r>
              <w:rPr>
                <w:sz w:val="16"/>
              </w:rPr>
              <w:t>An archive containing 10X data, a matrix, or H5AD</w:t>
            </w:r>
          </w:p>
        </w:tc>
      </w:tr>
      <w:tr w14:paraId="670333F9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DA6A4" w14:textId="77777777">
            <w:pPr>
              <w:spacing w:after="0"/>
            </w:pPr>
            <w:r>
              <w:rPr>
                <w:sz w:val="16"/>
              </w:rPr>
              <w:t>Import Matrix File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AED1F8" w14:textId="77777777">
            <w:pPr>
              <w:spacing w:after="0"/>
            </w:pPr>
            <w:r>
              <w:rPr>
                <w:sz w:val="16"/>
              </w:rPr>
              <w:t>H5AD / H5AD.GZ</w:t>
            </w:r>
          </w:p>
        </w:tc>
        <w:tc>
          <w:tcPr>
            <w:tcW w:w="487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A029D" w14:textId="77777777">
            <w:pPr>
              <w:spacing w:after="0"/>
            </w:pPr>
            <w:r>
              <w:rPr>
                <w:sz w:val="16"/>
              </w:rPr>
              <w:t>An AnnData file; confirm sample names and Group after detection</w:t>
            </w:r>
          </w:p>
        </w:tc>
      </w:tr>
      <w:tr w14:paraId="72273FA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DC9BA" w14:textId="77777777">
            <w:pPr>
              <w:spacing w:after="0"/>
            </w:pPr>
            <w:r>
              <w:rPr>
                <w:sz w:val="16"/>
              </w:rPr>
              <w:t>Add Sample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0981F" w14:textId="77777777">
            <w:pPr>
              <w:spacing w:after="0"/>
            </w:pPr>
            <w:r>
              <w:rPr>
                <w:sz w:val="16"/>
              </w:rPr>
              <w:t>Seurat RDS</w:t>
            </w:r>
          </w:p>
        </w:tc>
        <w:tc>
          <w:tcPr>
            <w:tcW w:w="48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8B5E7" w14:textId="77777777">
            <w:pPr>
              <w:spacing w:after="0"/>
            </w:pPr>
            <w:r>
              <w:rPr>
                <w:sz w:val="16"/>
              </w:rPr>
              <w:t>A compatible Seurat object</w:t>
            </w:r>
          </w:p>
        </w:tc>
      </w:tr>
    </w:tbl>
    <w:p w14:paraId="66C1B040" w14:textId="77777777">
      <w:pPr>
        <w:spacing w:after="20"/>
      </w:pPr>
    </w:p>
    <w:p w14:paraId="2F936549" w14:textId="77777777">
      <w:pPr>
        <w:pStyle w:val="21"/>
      </w:pPr>
      <w:r>
        <w:t>Add a 10X or RDS sample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14:paraId="3A8EA46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179C9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725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9ECD0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What to enter</w:t>
            </w:r>
          </w:p>
        </w:tc>
      </w:tr>
      <w:tr w14:paraId="4509B47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5F025" w14:textId="77777777">
            <w:pPr>
              <w:spacing w:after="0"/>
            </w:pPr>
            <w:r>
              <w:rPr>
                <w:sz w:val="16"/>
              </w:rPr>
              <w:t>Sample Name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A7510" w14:textId="77777777">
            <w:pPr>
              <w:spacing w:after="0"/>
            </w:pPr>
            <w:r>
              <w:rPr>
                <w:sz w:val="16"/>
              </w:rPr>
              <w:t>A unique, readable sample identifier</w:t>
            </w:r>
          </w:p>
        </w:tc>
      </w:tr>
      <w:tr w14:paraId="51EE65CF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C0D6C" w14:textId="77777777">
            <w:pPr>
              <w:spacing w:after="0"/>
            </w:pPr>
            <w:r>
              <w:rPr>
                <w:sz w:val="16"/>
              </w:rPr>
              <w:t>Group</w:t>
            </w:r>
          </w:p>
        </w:tc>
        <w:tc>
          <w:tcPr>
            <w:tcW w:w="725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7BAED2" w14:textId="77777777">
            <w:pPr>
              <w:spacing w:after="0"/>
            </w:pPr>
            <w:r>
              <w:rPr>
                <w:sz w:val="16"/>
              </w:rPr>
              <w:t>The biological condition used for comparison</w:t>
            </w:r>
          </w:p>
        </w:tc>
      </w:tr>
      <w:tr w14:paraId="22DB2F6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4A6E4" w14:textId="77777777">
            <w:pPr>
              <w:spacing w:after="0"/>
            </w:pPr>
            <w:r>
              <w:rPr>
                <w:sz w:val="16"/>
              </w:rPr>
              <w:t>Data Type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359DD" w14:textId="77777777">
            <w:pPr>
              <w:spacing w:after="0"/>
            </w:pPr>
            <w:r>
              <w:rPr>
                <w:sz w:val="16"/>
              </w:rPr>
              <w:t>10X Matrix Folder or Seurat RDS</w:t>
            </w:r>
          </w:p>
        </w:tc>
      </w:tr>
      <w:tr w14:paraId="4CBE5CBA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569A4" w14:textId="77777777">
            <w:pPr>
              <w:spacing w:after="0"/>
            </w:pPr>
            <w:r>
              <w:rPr>
                <w:sz w:val="16"/>
              </w:rPr>
              <w:t>Species</w:t>
            </w:r>
          </w:p>
        </w:tc>
        <w:tc>
          <w:tcPr>
            <w:tcW w:w="725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28468" w14:textId="77777777">
            <w:pPr>
              <w:spacing w:after="0"/>
            </w:pPr>
            <w:r>
              <w:rPr>
                <w:sz w:val="16"/>
              </w:rPr>
              <w:t>The organism represented by the data</w:t>
            </w:r>
          </w:p>
        </w:tc>
      </w:tr>
      <w:tr w14:paraId="7459930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82855" w14:textId="77777777">
            <w:pPr>
              <w:spacing w:after="0"/>
            </w:pPr>
            <w:r>
              <w:rPr>
                <w:sz w:val="16"/>
              </w:rPr>
              <w:t>Data Path</w:t>
            </w:r>
          </w:p>
        </w:tc>
        <w:tc>
          <w:tcPr>
            <w:tcW w:w="725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019C5" w14:textId="77777777">
            <w:pPr>
              <w:spacing w:after="0"/>
            </w:pPr>
            <w:r>
              <w:rPr>
                <w:sz w:val="16"/>
              </w:rPr>
              <w:t>The single sample folder or RDS file; use Browse to select it</w:t>
            </w:r>
          </w:p>
        </w:tc>
      </w:tr>
    </w:tbl>
    <w:p w14:paraId="2B6B368F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1584C470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8E7E3" w14:textId="77777777">
            <w:pPr>
              <w:spacing w:after="0"/>
            </w:pPr>
            <w:r>
              <w:rPr>
                <w:b/>
                <w:color w:val="2E75B6"/>
              </w:rPr>
              <w:t xml:space="preserve">Complete the dialog  </w:t>
            </w:r>
            <w:r>
              <w:t>After all five fields are correct, click OK. Repeat Add Sample for every independent sample.</w:t>
            </w:r>
          </w:p>
        </w:tc>
      </w:tr>
    </w:tbl>
    <w:p w14:paraId="2170AF6B" w14:textId="77777777">
      <w:r>
        <w:br w:type="page"/>
      </w:r>
    </w:p>
    <w:p w14:paraId="7B064E38" w14:textId="77777777">
      <w:pPr>
        <w:pStyle w:val="11"/>
      </w:pPr>
      <w:bookmarkStart w:id="7" w:name="_Toc237184158"/>
      <w:r>
        <w:lastRenderedPageBreak/>
        <w:t>01  Import a Matrix, Archive, or H5AD</w:t>
      </w:r>
      <w:bookmarkEnd w:id="7"/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391"/>
      </w:tblGrid>
      <w:tr w14:paraId="0C2F7D2C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3BCF2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83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45A79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14:paraId="458FACF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1B0B7" w14:textId="77777777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52B02" w14:textId="77777777">
            <w:pPr>
              <w:spacing w:after="0"/>
            </w:pPr>
            <w:r>
              <w:rPr>
                <w:sz w:val="17"/>
              </w:rPr>
              <w:t>Click Import Matrix File on the Data Import page.</w:t>
            </w:r>
          </w:p>
        </w:tc>
      </w:tr>
      <w:tr w14:paraId="6D119CEC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C47C4" w14:textId="77777777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A0C96" w14:textId="77777777">
            <w:pPr>
              <w:spacing w:after="0"/>
            </w:pPr>
            <w:r>
              <w:rPr>
                <w:sz w:val="17"/>
              </w:rPr>
              <w:t>In the Windows file picker, select the matrix, archive, H5AD, or H5AD.GZ file and click Open.</w:t>
            </w:r>
          </w:p>
        </w:tc>
      </w:tr>
      <w:tr w14:paraId="4524D09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E000C" w14:textId="77777777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149F02" w14:textId="77777777">
            <w:pPr>
              <w:spacing w:after="0"/>
            </w:pPr>
            <w:r>
              <w:rPr>
                <w:sz w:val="17"/>
              </w:rPr>
              <w:t>Keep the progress window open while the application reads and identifies the input.</w:t>
            </w:r>
          </w:p>
        </w:tc>
      </w:tr>
      <w:tr w14:paraId="0A9DBFEA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3FC6A" w14:textId="77777777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73F22" w14:textId="77777777">
            <w:pPr>
              <w:spacing w:after="0"/>
            </w:pPr>
            <w:r>
              <w:rPr>
                <w:sz w:val="17"/>
              </w:rPr>
              <w:t>For H5AD input, review the detected samples in the confirmation window shown on the next page.</w:t>
            </w:r>
          </w:p>
        </w:tc>
      </w:tr>
    </w:tbl>
    <w:p w14:paraId="60D82F33" w14:textId="77777777">
      <w:pPr>
        <w:spacing w:after="20"/>
      </w:pPr>
    </w:p>
    <w:p w14:paraId="6097A466" w14:textId="77777777">
      <w:pPr>
        <w:pStyle w:val="21"/>
      </w:pPr>
      <w:r>
        <w:t>What happens during H5AD import</w:t>
      </w:r>
    </w:p>
    <w:p w14:paraId="348AB3F9" w14:textId="77777777">
      <w:pPr>
        <w:pStyle w:val="10"/>
      </w:pPr>
      <w:r>
        <w:t>The application reads AnnData counts from raw or X according to file contents.</w:t>
      </w:r>
    </w:p>
    <w:p w14:paraId="482725E8" w14:textId="77777777">
      <w:pPr>
        <w:pStyle w:val="10"/>
      </w:pPr>
      <w:r>
        <w:t>It detects sample labels, splits data when needed, and writes project-managed 10X matrices.</w:t>
      </w:r>
    </w:p>
    <w:p w14:paraId="20E615F1" w14:textId="77777777">
      <w:pPr>
        <w:pStyle w:val="10"/>
      </w:pPr>
      <w:r>
        <w:t>The resulting samples enter the same Quality Control workflow as existing import methods.</w:t>
      </w:r>
    </w:p>
    <w:tbl>
      <w:tblPr>
        <w:tblW w:w="0" w:type="auto"/>
        <w:jc w:val="center"/>
        <w:tblBorders>
          <w:top w:val="single" w:sz="8" w:space="0" w:color="A86E00"/>
          <w:left w:val="single" w:sz="8" w:space="0" w:color="A86E00"/>
          <w:bottom w:val="single" w:sz="8" w:space="0" w:color="A86E00"/>
          <w:right w:val="single" w:sz="8" w:space="0" w:color="A86E00"/>
          <w:insideH w:val="single" w:sz="8" w:space="0" w:color="A86E00"/>
          <w:insideV w:val="single" w:sz="8" w:space="0" w:color="A86E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19C8F344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47E2A" w14:textId="77777777">
            <w:pPr>
              <w:spacing w:after="0"/>
            </w:pPr>
            <w:r>
              <w:rPr>
                <w:b/>
                <w:color w:val="A86E00"/>
              </w:rPr>
              <w:t xml:space="preserve">Wait for completion  </w:t>
            </w:r>
            <w:r>
              <w:t>Large H5AD files may take time to read, split, and write. Do not click Import again or force-close a responsive progress window.</w:t>
            </w:r>
          </w:p>
        </w:tc>
      </w:tr>
    </w:tbl>
    <w:p w14:paraId="4D2941A8" w14:textId="77777777">
      <w:r>
        <w:br w:type="page"/>
      </w:r>
    </w:p>
    <w:p w14:paraId="42C8AE96" w14:textId="77777777">
      <w:pPr>
        <w:pStyle w:val="11"/>
      </w:pPr>
      <w:bookmarkStart w:id="8" w:name="_Toc237184159"/>
      <w:r>
        <w:lastRenderedPageBreak/>
        <w:t>01  Confirm H5AD Samples</w:t>
      </w:r>
      <w:bookmarkEnd w:id="8"/>
    </w:p>
    <w:p w14:paraId="27DE8131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07E6CE67" wp14:editId="3C88F7C5">
            <wp:extent cx="5472000" cy="3757228"/>
            <wp:effectExtent l="0" t="0" r="0" b="0"/>
            <wp:docPr id="4" name="Picture 4" descr="Figure 01-2  Confirm H5AD samples and groups" title="Figure 01-2  Confirm H5AD samples and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h5ad_sample_confir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0055" w14:textId="77777777">
      <w:pPr>
        <w:pStyle w:val="1"/>
      </w:pPr>
      <w:r>
        <w:t>Figure 01-2  Confirm H5AD samples and groups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7B24CE12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C73F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91E85" w14:textId="77777777">
            <w:pPr>
              <w:spacing w:after="0"/>
            </w:pPr>
            <w:r>
              <w:rPr>
                <w:sz w:val="17"/>
              </w:rPr>
              <w:t>Confirm that Species matches the organism in the dataset.</w:t>
            </w:r>
          </w:p>
        </w:tc>
      </w:tr>
      <w:tr w14:paraId="4DE958C2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8F1C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907B4" w14:textId="77777777">
            <w:pPr>
              <w:spacing w:after="0"/>
            </w:pPr>
            <w:r>
              <w:rPr>
                <w:sz w:val="17"/>
              </w:rPr>
              <w:t>Review Sample Name. Double-click each Group cell and replace technical codes such as 0 or 1 with meaningful experimental group names.</w:t>
            </w:r>
          </w:p>
        </w:tc>
      </w:tr>
      <w:tr w14:paraId="2B384BF4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EF88D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1E62E" w14:textId="77777777">
            <w:pPr>
              <w:spacing w:after="0"/>
            </w:pPr>
            <w:r>
              <w:rPr>
                <w:sz w:val="17"/>
              </w:rPr>
              <w:t>After all values are correct, click OK and wait for conversion and writing to finish.</w:t>
            </w:r>
          </w:p>
        </w:tc>
      </w:tr>
    </w:tbl>
    <w:p w14:paraId="29C68FEE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A86E00"/>
          <w:left w:val="single" w:sz="8" w:space="0" w:color="A86E00"/>
          <w:bottom w:val="single" w:sz="8" w:space="0" w:color="A86E00"/>
          <w:right w:val="single" w:sz="8" w:space="0" w:color="A86E00"/>
          <w:insideH w:val="single" w:sz="8" w:space="0" w:color="A86E00"/>
          <w:insideV w:val="single" w:sz="8" w:space="0" w:color="A86E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43E960BB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8C7175" w14:textId="77777777">
            <w:pPr>
              <w:spacing w:after="0"/>
            </w:pPr>
            <w:r>
              <w:rPr>
                <w:b/>
                <w:color w:val="A86E00"/>
              </w:rPr>
              <w:t xml:space="preserve">Group rule  </w:t>
            </w:r>
            <w:r>
              <w:t>Keep 0 or 1 only when those values are intentionally used as the experimental group names. Otherwise use names such as Control and Treatment.</w:t>
            </w:r>
          </w:p>
        </w:tc>
      </w:tr>
    </w:tbl>
    <w:p w14:paraId="6B30CDDB" w14:textId="77777777">
      <w:r>
        <w:br w:type="page"/>
      </w:r>
    </w:p>
    <w:p w14:paraId="4A56484A" w14:textId="77777777">
      <w:pPr>
        <w:pStyle w:val="11"/>
      </w:pPr>
      <w:bookmarkStart w:id="9" w:name="_Toc237184160"/>
      <w:r>
        <w:lastRenderedPageBreak/>
        <w:t>01  Complete GSE250245 Import Example</w:t>
      </w:r>
      <w:bookmarkEnd w:id="9"/>
    </w:p>
    <w:p w14:paraId="6B2010ED" w14:textId="77777777">
      <w:r>
        <w:t>The example contains three 10X sample folders: Sham, mMCAO, and sMCAO. The mMCAO and sMCAO samples belong to the same MCAO experimental group.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247"/>
        <w:gridCol w:w="2381"/>
        <w:gridCol w:w="1134"/>
        <w:gridCol w:w="3345"/>
      </w:tblGrid>
      <w:tr w14:paraId="06FC60FD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65054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Sample Name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486A6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E69DE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04223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Species</w:t>
            </w:r>
          </w:p>
        </w:tc>
        <w:tc>
          <w:tcPr>
            <w:tcW w:w="334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6266A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Folder</w:t>
            </w:r>
          </w:p>
        </w:tc>
      </w:tr>
      <w:tr w14:paraId="37D82E8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219165" w14:textId="77777777">
            <w:pPr>
              <w:spacing w:after="0"/>
            </w:pPr>
            <w:r>
              <w:rPr>
                <w:sz w:val="16"/>
              </w:rPr>
              <w:t>Sham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39BC2" w14:textId="77777777">
            <w:pPr>
              <w:spacing w:after="0"/>
            </w:pPr>
            <w:r>
              <w:rPr>
                <w:sz w:val="16"/>
              </w:rPr>
              <w:t>Sham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B67D2" w14:textId="77777777">
            <w:pPr>
              <w:spacing w:after="0"/>
            </w:pPr>
            <w:r>
              <w:rPr>
                <w:sz w:val="16"/>
              </w:rPr>
              <w:t>10X Matrix Folder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AD75A" w14:textId="77777777">
            <w:pPr>
              <w:spacing w:after="0"/>
            </w:pPr>
            <w:r>
              <w:rPr>
                <w:sz w:val="16"/>
              </w:rPr>
              <w:t>Rat</w:t>
            </w:r>
          </w:p>
        </w:tc>
        <w:tc>
          <w:tcPr>
            <w:tcW w:w="334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47F66" w14:textId="77777777">
            <w:pPr>
              <w:spacing w:after="0"/>
            </w:pPr>
            <w:r>
              <w:rPr>
                <w:sz w:val="16"/>
              </w:rPr>
              <w:t>GSE250245/Sham</w:t>
            </w:r>
          </w:p>
        </w:tc>
      </w:tr>
      <w:tr w14:paraId="26B70B9F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D5C36" w14:textId="77777777">
            <w:pPr>
              <w:spacing w:after="0"/>
            </w:pPr>
            <w:r>
              <w:rPr>
                <w:sz w:val="16"/>
              </w:rPr>
              <w:t>mMCAO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770CA" w14:textId="77777777">
            <w:pPr>
              <w:spacing w:after="0"/>
            </w:pPr>
            <w:r>
              <w:rPr>
                <w:sz w:val="16"/>
              </w:rPr>
              <w:t>MCAO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EC1E3" w14:textId="77777777">
            <w:pPr>
              <w:spacing w:after="0"/>
            </w:pPr>
            <w:r>
              <w:rPr>
                <w:sz w:val="16"/>
              </w:rPr>
              <w:t>10X Matrix Folder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0E666" w14:textId="77777777">
            <w:pPr>
              <w:spacing w:after="0"/>
            </w:pPr>
            <w:r>
              <w:rPr>
                <w:sz w:val="16"/>
              </w:rPr>
              <w:t>Rat</w:t>
            </w:r>
          </w:p>
        </w:tc>
        <w:tc>
          <w:tcPr>
            <w:tcW w:w="334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3B517" w14:textId="77777777">
            <w:pPr>
              <w:spacing w:after="0"/>
            </w:pPr>
            <w:r>
              <w:rPr>
                <w:sz w:val="16"/>
              </w:rPr>
              <w:t>GSE250245/mMCAO</w:t>
            </w:r>
          </w:p>
        </w:tc>
      </w:tr>
      <w:tr w14:paraId="48B22EE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5AB8D" w14:textId="77777777">
            <w:pPr>
              <w:spacing w:after="0"/>
            </w:pPr>
            <w:r>
              <w:rPr>
                <w:sz w:val="16"/>
              </w:rPr>
              <w:t>sMCAO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3236E" w14:textId="77777777">
            <w:pPr>
              <w:spacing w:after="0"/>
            </w:pPr>
            <w:r>
              <w:rPr>
                <w:sz w:val="16"/>
              </w:rPr>
              <w:t>MCAO</w:t>
            </w:r>
          </w:p>
        </w:tc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2F952" w14:textId="77777777">
            <w:pPr>
              <w:spacing w:after="0"/>
            </w:pPr>
            <w:r>
              <w:rPr>
                <w:sz w:val="16"/>
              </w:rPr>
              <w:t>10X Matrix Folder</w:t>
            </w:r>
          </w:p>
        </w:tc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387C5" w14:textId="77777777">
            <w:pPr>
              <w:spacing w:after="0"/>
            </w:pPr>
            <w:r>
              <w:rPr>
                <w:sz w:val="16"/>
              </w:rPr>
              <w:t>Rat</w:t>
            </w:r>
          </w:p>
        </w:tc>
        <w:tc>
          <w:tcPr>
            <w:tcW w:w="334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C6742" w14:textId="77777777">
            <w:pPr>
              <w:spacing w:after="0"/>
            </w:pPr>
            <w:r>
              <w:rPr>
                <w:sz w:val="16"/>
              </w:rPr>
              <w:t>GSE250245/sMCAO</w:t>
            </w:r>
          </w:p>
        </w:tc>
      </w:tr>
    </w:tbl>
    <w:p w14:paraId="76BD811F" w14:textId="77777777">
      <w:pPr>
        <w:spacing w:after="20"/>
      </w:pPr>
    </w:p>
    <w:p w14:paraId="5F0F671D" w14:textId="77777777">
      <w:pPr>
        <w:pStyle w:val="21"/>
      </w:pPr>
      <w:r>
        <w:t>Run in this order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391"/>
      </w:tblGrid>
      <w:tr w14:paraId="143B39D9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F3B041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83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D9CF5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14:paraId="44F9A3B5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70150" w14:textId="77777777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A3ED7" w14:textId="77777777">
            <w:pPr>
              <w:spacing w:after="0"/>
            </w:pPr>
            <w:r>
              <w:rPr>
                <w:sz w:val="16"/>
              </w:rPr>
              <w:t>Click New Project, enter a Project name and data-drive Project Directory, then click Create Project.</w:t>
            </w:r>
          </w:p>
        </w:tc>
      </w:tr>
      <w:tr w14:paraId="48057329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A3C48" w14:textId="77777777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774B6" w14:textId="77777777">
            <w:pPr>
              <w:spacing w:after="0"/>
            </w:pPr>
            <w:r>
              <w:rPr>
                <w:sz w:val="16"/>
              </w:rPr>
              <w:t>Click Add Sample, add Sham using the table above, verify all five fields, and click OK.</w:t>
            </w:r>
          </w:p>
        </w:tc>
      </w:tr>
      <w:tr w14:paraId="6661C10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FCE47" w14:textId="77777777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39403A" w14:textId="77777777">
            <w:pPr>
              <w:spacing w:after="0"/>
            </w:pPr>
            <w:r>
              <w:rPr>
                <w:sz w:val="16"/>
              </w:rPr>
              <w:t>Click Add Sample again, add mMCAO, and set Group to MCAO.</w:t>
            </w:r>
          </w:p>
        </w:tc>
      </w:tr>
      <w:tr w14:paraId="334DDF63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36AF63" w14:textId="77777777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3493E" w14:textId="77777777">
            <w:pPr>
              <w:spacing w:after="0"/>
            </w:pPr>
            <w:r>
              <w:rPr>
                <w:sz w:val="16"/>
              </w:rPr>
              <w:t>Click Add Sample again, add sMCAO, and also set Group to MCAO.</w:t>
            </w:r>
          </w:p>
        </w:tc>
      </w:tr>
      <w:tr w14:paraId="4097149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FA936" w14:textId="77777777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B6B10" w14:textId="77777777">
            <w:pPr>
              <w:spacing w:after="0"/>
            </w:pPr>
            <w:r>
              <w:rPr>
                <w:sz w:val="16"/>
              </w:rPr>
              <w:t>Click Check All Data and wait until all three sample rows show valid.</w:t>
            </w:r>
          </w:p>
        </w:tc>
      </w:tr>
      <w:tr w14:paraId="06C651C5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E8FAA" w14:textId="77777777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A7BA6" w14:textId="77777777">
            <w:pPr>
              <w:spacing w:after="0"/>
            </w:pPr>
            <w:r>
              <w:rPr>
                <w:sz w:val="16"/>
              </w:rPr>
              <w:t>Click Run Current Step. After the standard success checks pass, click Confirm and Continue to open Quality Control.</w:t>
            </w:r>
          </w:p>
        </w:tc>
      </w:tr>
    </w:tbl>
    <w:p w14:paraId="013BAA78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5AAF720F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75E09" w14:textId="77777777">
            <w:pPr>
              <w:spacing w:after="0"/>
            </w:pPr>
            <w:r>
              <w:rPr>
                <w:b/>
                <w:color w:val="2E75B6"/>
              </w:rPr>
              <w:t xml:space="preserve">Check carefully  </w:t>
            </w:r>
            <w:r>
              <w:t>Each Data Path must point to its matching sample folder. Do not assign all three samples to the same directory.</w:t>
            </w:r>
          </w:p>
        </w:tc>
      </w:tr>
    </w:tbl>
    <w:p w14:paraId="17B7993F" w14:textId="77777777">
      <w:r>
        <w:br w:type="page"/>
      </w:r>
    </w:p>
    <w:p w14:paraId="797EB9A9" w14:textId="77777777">
      <w:pPr>
        <w:pStyle w:val="11"/>
      </w:pPr>
      <w:bookmarkStart w:id="10" w:name="_Toc237184161"/>
      <w:r>
        <w:lastRenderedPageBreak/>
        <w:t>02  Quality Control</w:t>
      </w:r>
      <w:bookmarkEnd w:id="10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1FAA679C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575F1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Filter low-quality cells by UMI count, detected genes, and mitochondrial percentage.  Before you run it: Data Import is complete and every sample status is valid.</w:t>
            </w:r>
          </w:p>
        </w:tc>
      </w:tr>
    </w:tbl>
    <w:p w14:paraId="675582F8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6D961CCD" wp14:editId="32DBD551">
            <wp:extent cx="5472000" cy="2928375"/>
            <wp:effectExtent l="0" t="0" r="0" b="0"/>
            <wp:docPr id="5" name="Picture 5" descr="Figure 02-1  Quality Control controls" title="Figure 02-1  Quality Control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quality_control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3FE1" w14:textId="77777777">
      <w:pPr>
        <w:pStyle w:val="1"/>
      </w:pPr>
      <w:r>
        <w:t>Figure 02-1  Quality Control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3D144E8A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58823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461AE" w14:textId="77777777">
            <w:pPr>
              <w:spacing w:after="0"/>
            </w:pPr>
            <w:r>
              <w:rPr>
                <w:sz w:val="17"/>
              </w:rPr>
              <w:t>Open Quality Control.</w:t>
            </w:r>
          </w:p>
        </w:tc>
      </w:tr>
      <w:tr w14:paraId="534FC89A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5E76A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B9AD6" w14:textId="77777777">
            <w:pPr>
              <w:spacing w:after="0"/>
            </w:pPr>
            <w:r>
              <w:rPr>
                <w:sz w:val="17"/>
              </w:rPr>
              <w:t>Select shared parameters, per-sample parameters, or Skip QC.</w:t>
            </w:r>
          </w:p>
        </w:tc>
      </w:tr>
      <w:tr w14:paraId="5E303EBC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F9303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7B67A" w14:textId="77777777">
            <w:pPr>
              <w:spacing w:after="0"/>
            </w:pPr>
            <w:r>
              <w:rPr>
                <w:sz w:val="17"/>
              </w:rPr>
              <w:t>Confirm UMI, gene-count, mitochondrial-percentage, and mitochondrial-gene removal settings.</w:t>
            </w:r>
          </w:p>
        </w:tc>
      </w:tr>
      <w:tr w14:paraId="6E5F90B2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39905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25624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780BB975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EF2E6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5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953AD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74D6C4BF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2F218EBD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6D9E1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Minimum UMI 500; Minimum genes 250; Maximum mitochondrial percentage 5%; Seed 1234.</w:t>
            </w:r>
          </w:p>
        </w:tc>
      </w:tr>
    </w:tbl>
    <w:p w14:paraId="356DC832" w14:textId="77777777">
      <w:r>
        <w:br w:type="page"/>
      </w:r>
    </w:p>
    <w:p w14:paraId="4FA5F058" w14:textId="77777777">
      <w:pPr>
        <w:pStyle w:val="11"/>
      </w:pPr>
      <w:bookmarkStart w:id="11" w:name="_Toc237184162"/>
      <w:r>
        <w:lastRenderedPageBreak/>
        <w:t>03  Doublet Removal</w:t>
      </w:r>
      <w:bookmarkEnd w:id="11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6B6DD782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23311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Identify and remove likely doublets and create singlet objects for downstream analysis.  Before you run it: Quality Control completed successfully, or Skip QC was intentionally selected.</w:t>
            </w:r>
          </w:p>
        </w:tc>
      </w:tr>
    </w:tbl>
    <w:p w14:paraId="6FF1893D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36934D2F" wp14:editId="4C04C5DC">
            <wp:extent cx="5472000" cy="2928375"/>
            <wp:effectExtent l="0" t="0" r="0" b="0"/>
            <wp:docPr id="6" name="Picture 6" descr="Figure 03-1  Doublet Removal controls" title="Figure 03-1  Doublet Removal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oublet_removal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E279" w14:textId="77777777">
      <w:pPr>
        <w:pStyle w:val="1"/>
      </w:pPr>
      <w:r>
        <w:t>Figure 03-1  Doublet Removal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6FD509A6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EF26F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741D3" w14:textId="77777777">
            <w:pPr>
              <w:spacing w:after="0"/>
            </w:pPr>
            <w:r>
              <w:rPr>
                <w:sz w:val="17"/>
              </w:rPr>
              <w:t>Open Doublet Removal.</w:t>
            </w:r>
          </w:p>
        </w:tc>
      </w:tr>
      <w:tr w14:paraId="13E19707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028E1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D1814" w14:textId="77777777">
            <w:pPr>
              <w:spacing w:after="0"/>
            </w:pPr>
            <w:r>
              <w:rPr>
                <w:sz w:val="17"/>
              </w:rPr>
              <w:t>Select Auto mode, shared parameters, or Skip.</w:t>
            </w:r>
          </w:p>
        </w:tc>
      </w:tr>
      <w:tr w14:paraId="54BFE925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BA043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176F" w14:textId="77777777">
            <w:pPr>
              <w:spacing w:after="0"/>
            </w:pPr>
            <w:r>
              <w:rPr>
                <w:sz w:val="17"/>
              </w:rPr>
              <w:t>Confirm Expected rate, PCs, pN, Resolution, and Auto pK.</w:t>
            </w:r>
          </w:p>
        </w:tc>
      </w:tr>
      <w:tr w14:paraId="452E7016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018E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7C49C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75A7506A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EC68C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5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3B86E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2EC4E779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C32500A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F0D543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Auto mode; Expected doublet rate 0.06; PCs 1:30; Seed 1234.</w:t>
            </w:r>
          </w:p>
        </w:tc>
      </w:tr>
    </w:tbl>
    <w:p w14:paraId="313594A2" w14:textId="77777777">
      <w:r>
        <w:br w:type="page"/>
      </w:r>
    </w:p>
    <w:p w14:paraId="6F93CE36" w14:textId="77777777">
      <w:pPr>
        <w:pStyle w:val="11"/>
      </w:pPr>
      <w:bookmarkStart w:id="12" w:name="_Toc237184163"/>
      <w:r>
        <w:lastRenderedPageBreak/>
        <w:t>04  Batch Correction</w:t>
      </w:r>
      <w:bookmarkEnd w:id="12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B54B1CB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5AD2C6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Correct genuine technical batch effects, or continue without correction when it is not required.  Before you run it: Doublet Removal is complete; enable correction only for a genuine technical batch effect.</w:t>
            </w:r>
          </w:p>
        </w:tc>
      </w:tr>
    </w:tbl>
    <w:p w14:paraId="7B35BDF7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6E277531" wp14:editId="7AC7C4B2">
            <wp:extent cx="5472000" cy="2928375"/>
            <wp:effectExtent l="0" t="0" r="0" b="0"/>
            <wp:docPr id="7" name="Picture 7" descr="Figure 04-1  Batch Correction controls" title="Figure 04-1  Batch Correc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batch_correction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AB6F" w14:textId="77777777">
      <w:pPr>
        <w:pStyle w:val="1"/>
      </w:pPr>
      <w:r>
        <w:t>Figure 04-1  Batch Correction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65717A1A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EA128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896195" w14:textId="77777777">
            <w:pPr>
              <w:spacing w:after="0"/>
            </w:pPr>
            <w:r>
              <w:rPr>
                <w:sz w:val="17"/>
              </w:rPr>
              <w:t>Open Batch Correction.</w:t>
            </w:r>
          </w:p>
        </w:tc>
      </w:tr>
      <w:tr w14:paraId="51955B67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623A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22F81" w14:textId="77777777">
            <w:pPr>
              <w:spacing w:after="0"/>
            </w:pPr>
            <w:r>
              <w:rPr>
                <w:sz w:val="17"/>
              </w:rPr>
              <w:t>Decide whether correction is needed, then select the Batch key and RPCA, Harmony, or CCA.</w:t>
            </w:r>
          </w:p>
        </w:tc>
      </w:tr>
      <w:tr w14:paraId="0C0799AB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05BB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AE7B3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641A27CD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EEE38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59D8E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5A75CDCB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5C3D40A1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64DB48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Disabled by default; when correction is required, select a Batch key and RPCA, Harmony, or CCA.</w:t>
            </w:r>
          </w:p>
        </w:tc>
      </w:tr>
    </w:tbl>
    <w:p w14:paraId="34E55AD9" w14:textId="77777777">
      <w:r>
        <w:br w:type="page"/>
      </w:r>
    </w:p>
    <w:p w14:paraId="5DDB020F" w14:textId="77777777">
      <w:pPr>
        <w:pStyle w:val="11"/>
      </w:pPr>
      <w:bookmarkStart w:id="13" w:name="_Toc237184164"/>
      <w:r>
        <w:lastRenderedPageBreak/>
        <w:t>05  Merge and Clustering</w:t>
      </w:r>
      <w:bookmarkEnd w:id="13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0ED4F73F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AE160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Merge samples, normalize data, run PCA, cluster cells, and calculate UMAP or t-SNE embeddings.  Before you run it: Steps 01-04 are confirmed; use the corrected object if batch correction was enabled.</w:t>
            </w:r>
          </w:p>
        </w:tc>
      </w:tr>
    </w:tbl>
    <w:p w14:paraId="1B1DD76C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5CD1D015" wp14:editId="7828935C">
            <wp:extent cx="5472000" cy="2928375"/>
            <wp:effectExtent l="0" t="0" r="0" b="0"/>
            <wp:docPr id="8" name="Picture 8" descr="Figure 05-1  Merge and Clustering controls" title="Figure 05-1  Merge and Clustering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rge_clustering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122A" w14:textId="77777777">
      <w:pPr>
        <w:pStyle w:val="1"/>
      </w:pPr>
      <w:r>
        <w:t>Figure 05-1  Merge and Clustering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5C1CE7A9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BBD7B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10AEC" w14:textId="77777777">
            <w:pPr>
              <w:spacing w:after="0"/>
            </w:pPr>
            <w:r>
              <w:rPr>
                <w:sz w:val="17"/>
              </w:rPr>
              <w:t>Open Merge and Clustering.</w:t>
            </w:r>
          </w:p>
        </w:tc>
      </w:tr>
      <w:tr w14:paraId="50EC3997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015C2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FABBD" w14:textId="77777777">
            <w:pPr>
              <w:spacing w:after="0"/>
            </w:pPr>
            <w:r>
              <w:rPr>
                <w:sz w:val="17"/>
              </w:rPr>
              <w:t>Confirm Merge mode, samples, prefixes, Normalization, and Scale factor.</w:t>
            </w:r>
          </w:p>
        </w:tc>
      </w:tr>
      <w:tr w14:paraId="2C07D4A4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A3E15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C7882" w14:textId="77777777">
            <w:pPr>
              <w:spacing w:after="0"/>
            </w:pPr>
            <w:r>
              <w:rPr>
                <w:sz w:val="17"/>
              </w:rPr>
              <w:t>Confirm HVG, regression variables, Resolution, UMAP or t-SNE, and Primary reduction.</w:t>
            </w:r>
          </w:p>
        </w:tc>
      </w:tr>
      <w:tr w14:paraId="615F02D4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56102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763DE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629F4C8D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C6E49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5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FB63F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1448A9DF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E53CAFD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99206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Direct merge; LogNormalize; HVG 3000; dims 1:30; resolution 1.20; Seed 1234.</w:t>
            </w:r>
          </w:p>
        </w:tc>
      </w:tr>
    </w:tbl>
    <w:p w14:paraId="6F9F51CE" w14:textId="77777777">
      <w:r>
        <w:br w:type="page"/>
      </w:r>
    </w:p>
    <w:p w14:paraId="4E123C74" w14:textId="77777777">
      <w:pPr>
        <w:pStyle w:val="11"/>
      </w:pPr>
      <w:bookmarkStart w:id="14" w:name="_Toc237184165"/>
      <w:r>
        <w:lastRenderedPageBreak/>
        <w:t>06  Cell-Type Annotation</w:t>
      </w:r>
      <w:bookmarkEnd w:id="14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8987956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60848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Calculate cluster markers and annotate major cell types with manual markers or SingleR.  Before you run it: Merge and Clustering is complete and clusters are available.</w:t>
            </w:r>
          </w:p>
        </w:tc>
      </w:tr>
    </w:tbl>
    <w:p w14:paraId="0C73C784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47AA398A" wp14:editId="686E4C8E">
            <wp:extent cx="5472000" cy="2928375"/>
            <wp:effectExtent l="0" t="0" r="0" b="0"/>
            <wp:docPr id="9" name="Picture 9" descr="Figure 06-1  Cell-Type Annotation controls" title="Figure 06-1  Cell-Type Annota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ell_type_annotation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BC63" w14:textId="77777777">
      <w:pPr>
        <w:pStyle w:val="1"/>
      </w:pPr>
      <w:r>
        <w:t>Figure 06-1  Cell-Type Annotation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078C1095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D0CF7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721E4" w14:textId="77777777">
            <w:pPr>
              <w:spacing w:after="0"/>
            </w:pPr>
            <w:r>
              <w:rPr>
                <w:sz w:val="17"/>
              </w:rPr>
              <w:t>Open Cell-Type Annotation.</w:t>
            </w:r>
          </w:p>
        </w:tc>
      </w:tr>
      <w:tr w14:paraId="398F7D9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4E086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63797" w14:textId="77777777">
            <w:pPr>
              <w:spacing w:after="0"/>
            </w:pPr>
            <w:r>
              <w:rPr>
                <w:sz w:val="17"/>
              </w:rPr>
              <w:t>Confirm the profile and thresholds, then click Find Cluster Markers.</w:t>
            </w:r>
          </w:p>
        </w:tc>
      </w:tr>
      <w:tr w14:paraId="3DF07D5E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0D1C2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BCE26" w14:textId="77777777">
            <w:pPr>
              <w:spacing w:after="0"/>
            </w:pPr>
            <w:r>
              <w:rPr>
                <w:sz w:val="17"/>
              </w:rPr>
              <w:t>After markers finish, choose Automatic or Manual Annotation, enter markers or mapping, scroll down, click Run Annotation, review the result, and click Apply Annotation.</w:t>
            </w:r>
          </w:p>
        </w:tc>
      </w:tr>
      <w:tr w14:paraId="41B960BD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658D6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AF3D7" w14:textId="77777777">
            <w:pPr>
              <w:spacing w:after="0"/>
            </w:pPr>
            <w:r>
              <w:rPr>
                <w:sz w:val="17"/>
              </w:rPr>
              <w:t>Run Current Step performs the same marker task as Find Cluster Markers; do not run both consecutively.</w:t>
            </w:r>
          </w:p>
        </w:tc>
      </w:tr>
      <w:tr w14:paraId="6ABF9D7D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10022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5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F1183" w14:textId="77777777">
            <w:pPr>
              <w:spacing w:after="0"/>
            </w:pPr>
            <w:r>
              <w:rPr>
                <w:sz w:val="17"/>
              </w:rPr>
              <w:t>When annotation finishes without errors and Confirm is enabled, click Confirm and Continue.</w:t>
            </w:r>
          </w:p>
        </w:tc>
      </w:tr>
    </w:tbl>
    <w:p w14:paraId="5409A883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40A5B825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29D35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Conservative; min.pct 0.25; logFC 0.25; Generate Annotation Plots is optional after Apply Annotation.</w:t>
            </w:r>
          </w:p>
        </w:tc>
      </w:tr>
    </w:tbl>
    <w:p w14:paraId="30963EA1" w14:textId="77777777">
      <w:r>
        <w:br w:type="page"/>
      </w:r>
    </w:p>
    <w:p w14:paraId="0EED8281" w14:textId="77777777">
      <w:pPr>
        <w:pStyle w:val="11"/>
      </w:pPr>
      <w:bookmarkStart w:id="15" w:name="_Toc237184166"/>
      <w:r>
        <w:lastRenderedPageBreak/>
        <w:t>07  Subcluster Analysis</w:t>
      </w:r>
      <w:bookmarkEnd w:id="15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46B251A8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B44470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Extract a target cell type, recluster it, calculate an embedding, and annotate subclusters.  Before you run it: Major-cell-type annotation is complete and the target cell type exists.</w:t>
            </w:r>
          </w:p>
        </w:tc>
      </w:tr>
    </w:tbl>
    <w:p w14:paraId="41F3731F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6A7BD33A" wp14:editId="2B634AA3">
            <wp:extent cx="5472000" cy="2928375"/>
            <wp:effectExtent l="0" t="0" r="0" b="0"/>
            <wp:docPr id="10" name="Picture 10" descr="Figure 07-1  Subcluster Analysis controls" title="Figure 07-1  Subcluster Analysis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ubcluster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44FA" w14:textId="77777777">
      <w:pPr>
        <w:pStyle w:val="1"/>
      </w:pPr>
      <w:r>
        <w:t>Figure 07-1  Subcluster Analysis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7CCC371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7070E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694EE" w14:textId="77777777">
            <w:pPr>
              <w:spacing w:after="0"/>
            </w:pPr>
            <w:r>
              <w:rPr>
                <w:sz w:val="17"/>
              </w:rPr>
              <w:t>Open Subcluster Analysis.</w:t>
            </w:r>
          </w:p>
        </w:tc>
      </w:tr>
      <w:tr w14:paraId="1B8DBE78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9616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A077B" w14:textId="77777777">
            <w:pPr>
              <w:spacing w:after="0"/>
            </w:pPr>
            <w:r>
              <w:rPr>
                <w:sz w:val="17"/>
              </w:rPr>
              <w:t>Select the target cell type, embedding, clustering, and annotation method.</w:t>
            </w:r>
          </w:p>
        </w:tc>
      </w:tr>
      <w:tr w14:paraId="31537C8A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0D1B2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96AD1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1E42EB37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D7ED7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7ED99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08464E49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10C11AE9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360DEE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Resolution 0.30; HVG 2000; dims 1:10; use the current major-cluster embedding type.</w:t>
            </w:r>
          </w:p>
        </w:tc>
      </w:tr>
    </w:tbl>
    <w:p w14:paraId="5B322001" w14:textId="77777777">
      <w:r>
        <w:br w:type="page"/>
      </w:r>
    </w:p>
    <w:p w14:paraId="2D02AB85" w14:textId="77777777">
      <w:pPr>
        <w:pStyle w:val="11"/>
      </w:pPr>
      <w:bookmarkStart w:id="16" w:name="_Toc237184167"/>
      <w:r>
        <w:lastRenderedPageBreak/>
        <w:t>08  Differential Expression</w:t>
      </w:r>
      <w:bookmarkEnd w:id="16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337F2F31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7AC908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Define a comparison in a major-cluster or subcluster object and run differential expression analysis.  Before you run it: Major or subcluster annotation is complete and the groups or identities to compare exist.</w:t>
            </w:r>
          </w:p>
        </w:tc>
      </w:tr>
    </w:tbl>
    <w:p w14:paraId="31424B3C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1B331EA4" wp14:editId="132B41BD">
            <wp:extent cx="5472000" cy="2928375"/>
            <wp:effectExtent l="0" t="0" r="0" b="0"/>
            <wp:docPr id="11" name="Picture 11" descr="Figure 08-1  Differential Expression controls" title="Figure 08-1  Differential Express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differential_expression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0DDE" w14:textId="77777777">
      <w:pPr>
        <w:pStyle w:val="1"/>
      </w:pPr>
      <w:r>
        <w:t>Figure 08-1  Differential Expression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0ED65D1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9EC05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8044A5" w14:textId="77777777">
            <w:pPr>
              <w:spacing w:after="0"/>
            </w:pPr>
            <w:r>
              <w:rPr>
                <w:sz w:val="17"/>
              </w:rPr>
              <w:t>Open Differential Expression.</w:t>
            </w:r>
          </w:p>
        </w:tc>
      </w:tr>
      <w:tr w14:paraId="293845FC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CF0AC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9E9B9" w14:textId="77777777">
            <w:pPr>
              <w:spacing w:after="0"/>
            </w:pPr>
            <w:r>
              <w:rPr>
                <w:sz w:val="17"/>
              </w:rPr>
              <w:t>Select the object, comparison mode, groups, test, and thresholds.</w:t>
            </w:r>
          </w:p>
        </w:tc>
      </w:tr>
      <w:tr w14:paraId="25AC6371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19E0D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939D4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4390210E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FAF5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61C15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0B50DE3F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36C48C2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AC74B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MAST; min.pct 0.10; logFC 0.60; adjusted P cutoff 0.05.</w:t>
            </w:r>
          </w:p>
        </w:tc>
      </w:tr>
    </w:tbl>
    <w:p w14:paraId="1C302361" w14:textId="77777777">
      <w:r>
        <w:br w:type="page"/>
      </w:r>
    </w:p>
    <w:p w14:paraId="7DC9FF1A" w14:textId="77777777">
      <w:pPr>
        <w:pStyle w:val="11"/>
      </w:pPr>
      <w:bookmarkStart w:id="17" w:name="_Toc237184168"/>
      <w:r>
        <w:lastRenderedPageBreak/>
        <w:t>09  GSEA Enrichment</w:t>
      </w:r>
      <w:bookmarkEnd w:id="17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14AAE217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4C717F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Run GSEA with an existing ranked DEG result and a compatible GMT gene-set file.  Before you run it: Differential Expression is complete and a species- and gene-ID-compatible GMT file is available.</w:t>
            </w:r>
          </w:p>
        </w:tc>
      </w:tr>
    </w:tbl>
    <w:p w14:paraId="7AB054BC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7D85A00F" wp14:editId="0A5A6CB1">
            <wp:extent cx="5472000" cy="2928375"/>
            <wp:effectExtent l="0" t="0" r="0" b="0"/>
            <wp:docPr id="12" name="Picture 12" descr="Figure 09-1  GSEA Enrichment controls" title="Figure 09-1  GSEA Enrichment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gsea_enrichment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9BF8" w14:textId="77777777">
      <w:pPr>
        <w:pStyle w:val="1"/>
      </w:pPr>
      <w:r>
        <w:t>Figure 09-1  GSEA Enrichment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3898406F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F53AF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A2B35" w14:textId="77777777">
            <w:pPr>
              <w:spacing w:after="0"/>
            </w:pPr>
            <w:r>
              <w:rPr>
                <w:sz w:val="17"/>
              </w:rPr>
              <w:t>Open GSEA Enrichment.</w:t>
            </w:r>
          </w:p>
        </w:tc>
      </w:tr>
      <w:tr w14:paraId="6C13DD54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CB44C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D9682" w14:textId="77777777">
            <w:pPr>
              <w:spacing w:after="0"/>
            </w:pPr>
            <w:r>
              <w:rPr>
                <w:sz w:val="17"/>
              </w:rPr>
              <w:t>Select the DEG result, GMT file, Top N, and gene-set size.</w:t>
            </w:r>
          </w:p>
        </w:tc>
      </w:tr>
      <w:tr w14:paraId="76526E94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ED321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67D52" w14:textId="77777777">
            <w:pPr>
              <w:spacing w:after="0"/>
            </w:pPr>
            <w:r>
              <w:rPr>
                <w:sz w:val="17"/>
              </w:rPr>
              <w:t>Click GSEA to start the main analysis; after it finishes, optionally select a pathway and click Single Pathway.</w:t>
            </w:r>
          </w:p>
        </w:tc>
      </w:tr>
      <w:tr w14:paraId="6DD4014E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92205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AF635" w14:textId="77777777">
            <w:pPr>
              <w:spacing w:after="0"/>
            </w:pPr>
            <w:r>
              <w:rPr>
                <w:sz w:val="17"/>
              </w:rPr>
              <w:t>Run Current Step and GSEA start the same main task. Use one, not both.</w:t>
            </w:r>
          </w:p>
        </w:tc>
      </w:tr>
      <w:tr w14:paraId="665CE5C5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2F410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5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9FBC8" w14:textId="77777777">
            <w:pPr>
              <w:spacing w:after="0"/>
            </w:pPr>
            <w:r>
              <w:rPr>
                <w:sz w:val="17"/>
              </w:rPr>
              <w:t>When the main analysis finishes without errors and Confirm is enabled, click Confirm and Continue.</w:t>
            </w:r>
          </w:p>
        </w:tc>
      </w:tr>
    </w:tbl>
    <w:p w14:paraId="14E7A6A9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6A8A900E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1710C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Top pathways 10; gene-set size 10-500; Single Pathway is available after the main analysis.</w:t>
            </w:r>
          </w:p>
        </w:tc>
      </w:tr>
    </w:tbl>
    <w:p w14:paraId="60C559DA" w14:textId="77777777">
      <w:r>
        <w:br w:type="page"/>
      </w:r>
    </w:p>
    <w:p w14:paraId="0E14E833" w14:textId="77777777">
      <w:pPr>
        <w:pStyle w:val="11"/>
      </w:pPr>
      <w:bookmarkStart w:id="18" w:name="_Toc237184169"/>
      <w:r>
        <w:lastRenderedPageBreak/>
        <w:t>10  Single-Gene Analysis</w:t>
      </w:r>
      <w:bookmarkEnd w:id="18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0CDF9047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CA47F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Inspect the expression of one or more genes across groups or cell types.  Before you run it: A major or subcluster object exists and the requested gene symbols are present.</w:t>
            </w:r>
          </w:p>
        </w:tc>
      </w:tr>
    </w:tbl>
    <w:p w14:paraId="77AEBC18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4A0884E9" wp14:editId="43DFCAD7">
            <wp:extent cx="5472000" cy="2928375"/>
            <wp:effectExtent l="0" t="0" r="0" b="0"/>
            <wp:docPr id="13" name="Picture 13" descr="Figure 10-1  Single-Gene Analysis controls" title="Figure 10-1  Single-Gene Analysis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single_gene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EFCA" w14:textId="77777777">
      <w:pPr>
        <w:pStyle w:val="1"/>
      </w:pPr>
      <w:r>
        <w:t>Figure 10-1  Single-Gene Analysis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5101819C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D0A8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28051" w14:textId="77777777">
            <w:pPr>
              <w:spacing w:after="0"/>
            </w:pPr>
            <w:r>
              <w:rPr>
                <w:sz w:val="17"/>
              </w:rPr>
              <w:t>Open Single-Gene Analysis.</w:t>
            </w:r>
          </w:p>
        </w:tc>
      </w:tr>
      <w:tr w14:paraId="4367F9B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623E0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B18EC" w14:textId="77777777">
            <w:pPr>
              <w:spacing w:after="0"/>
            </w:pPr>
            <w:r>
              <w:rPr>
                <w:sz w:val="17"/>
              </w:rPr>
              <w:t>Select the object, gene, comparison mode, groups, and statistical test.</w:t>
            </w:r>
          </w:p>
        </w:tc>
      </w:tr>
      <w:tr w14:paraId="71C70CD8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2BA9E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1E0588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36F6F245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49D85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BFC9C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3AB915D0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6A6BD476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8690BF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Visualization only by default; for comparison, select Grouping, group order, and a statistical test.</w:t>
            </w:r>
          </w:p>
        </w:tc>
      </w:tr>
    </w:tbl>
    <w:p w14:paraId="45C2B458" w14:textId="77777777">
      <w:r>
        <w:br w:type="page"/>
      </w:r>
    </w:p>
    <w:p w14:paraId="598D6903" w14:textId="77777777">
      <w:pPr>
        <w:pStyle w:val="11"/>
      </w:pPr>
      <w:bookmarkStart w:id="19" w:name="_Toc237184170"/>
      <w:r>
        <w:lastRenderedPageBreak/>
        <w:t>11  Gene Set Scoring</w:t>
      </w:r>
      <w:bookmarkEnd w:id="19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6C81E65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027826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Calculate gene-set scores from a GMT pathway or a custom gene list.  Before you run it: An analysis object exists and a GMT pathway or custom gene list is available.</w:t>
            </w:r>
          </w:p>
        </w:tc>
      </w:tr>
    </w:tbl>
    <w:p w14:paraId="76430BAA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7B757F08" wp14:editId="65974972">
            <wp:extent cx="5472000" cy="2928375"/>
            <wp:effectExtent l="0" t="0" r="0" b="0"/>
            <wp:docPr id="14" name="Picture 14" descr="Figure 11-1  Gene Set Scoring controls" title="Figure 11-1  Gene Set Scoring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gene_set_scoring_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6615" w14:textId="77777777">
      <w:pPr>
        <w:pStyle w:val="1"/>
      </w:pPr>
      <w:r>
        <w:t>Figure 11-1  Gene Set Scoring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10483F34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FE7B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8C773" w14:textId="77777777">
            <w:pPr>
              <w:spacing w:after="0"/>
            </w:pPr>
            <w:r>
              <w:rPr>
                <w:sz w:val="17"/>
              </w:rPr>
              <w:t>Open Gene Set Scoring.</w:t>
            </w:r>
          </w:p>
        </w:tc>
      </w:tr>
      <w:tr w14:paraId="7E58D44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D58C0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293B2" w14:textId="77777777">
            <w:pPr>
              <w:spacing w:after="0"/>
            </w:pPr>
            <w:r>
              <w:rPr>
                <w:sz w:val="17"/>
              </w:rPr>
              <w:t>Select GMT or Custom genes, the object, label column, and comparison settings.</w:t>
            </w:r>
          </w:p>
        </w:tc>
      </w:tr>
      <w:tr w14:paraId="3D56F2A9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38B1F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CDF15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73CFED28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8028E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6CE2B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0ACA17D0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51916560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0038D8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Select GMT Pathway or Custom genes, then confirm the object, label column, and comparison order.</w:t>
            </w:r>
          </w:p>
        </w:tc>
      </w:tr>
    </w:tbl>
    <w:p w14:paraId="51EAE279" w14:textId="77777777">
      <w:r>
        <w:br w:type="page"/>
      </w:r>
    </w:p>
    <w:p w14:paraId="3AFF2A8D" w14:textId="77777777">
      <w:pPr>
        <w:pStyle w:val="11"/>
      </w:pPr>
      <w:bookmarkStart w:id="20" w:name="_Toc237184171"/>
      <w:r>
        <w:lastRenderedPageBreak/>
        <w:t>12  Cell–Cell Communication</w:t>
      </w:r>
      <w:bookmarkEnd w:id="20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0C98D9C3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040F5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Run CellChat cell-cell communication analysis and optionally compare conditions.  Before you run it: Cell-type annotation is complete; verify that the CellChat runtime is available first.</w:t>
            </w:r>
          </w:p>
        </w:tc>
      </w:tr>
    </w:tbl>
    <w:p w14:paraId="5EE6D0C0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77E977D9" wp14:editId="52A7AD14">
            <wp:extent cx="5472000" cy="2928375"/>
            <wp:effectExtent l="0" t="0" r="0" b="0"/>
            <wp:docPr id="15" name="Picture 15" descr="Figure 12-1  Cell–Cell Communication controls" title="Figure 12-1  Cell–Cell Communica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cell_communication_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775" w14:textId="77777777">
      <w:pPr>
        <w:pStyle w:val="1"/>
      </w:pPr>
      <w:r>
        <w:t>Figure 12-1  Cell–Cell Communication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328D06D7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357F3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1D3F4" w14:textId="77777777">
            <w:pPr>
              <w:spacing w:after="0"/>
            </w:pPr>
            <w:r>
              <w:rPr>
                <w:sz w:val="17"/>
              </w:rPr>
              <w:t>Open Cell-Cell Communication.</w:t>
            </w:r>
          </w:p>
        </w:tc>
      </w:tr>
      <w:tr w14:paraId="60A32E35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C3FB8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558F9" w14:textId="77777777">
            <w:pPr>
              <w:spacing w:after="0"/>
            </w:pPr>
            <w:r>
              <w:rPr>
                <w:sz w:val="17"/>
              </w:rPr>
              <w:t>Check the CellChat runtime, then select the object, identity, species, and database.</w:t>
            </w:r>
          </w:p>
        </w:tc>
      </w:tr>
      <w:tr w14:paraId="69BEEB41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09ADE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21AE7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1263A073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4068F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C9603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130F0777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44CE7F48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9E0FBC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Run Check CellChat runtime first, then select identity, species, database, and min cells.</w:t>
            </w:r>
          </w:p>
        </w:tc>
      </w:tr>
    </w:tbl>
    <w:p w14:paraId="40F5BAC8" w14:textId="77777777">
      <w:r>
        <w:br w:type="page"/>
      </w:r>
    </w:p>
    <w:p w14:paraId="2E0B6B64" w14:textId="77777777">
      <w:pPr>
        <w:pStyle w:val="11"/>
      </w:pPr>
      <w:bookmarkStart w:id="21" w:name="_Toc237184172"/>
      <w:r>
        <w:lastRenderedPageBreak/>
        <w:t>13  Cell-Cycle Scoring</w:t>
      </w:r>
      <w:bookmarkEnd w:id="21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D074587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3A1EA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Calculate cell-cycle phases and scores from S/G2M markers.  Before you run it: The object has a UMAP or t-SNE embedding and the correct species-specific S/G2M markers are selected.</w:t>
            </w:r>
          </w:p>
        </w:tc>
      </w:tr>
    </w:tbl>
    <w:p w14:paraId="1B033CBD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05A7ABD1" wp14:editId="0C771259">
            <wp:extent cx="5472000" cy="2928375"/>
            <wp:effectExtent l="0" t="0" r="0" b="0"/>
            <wp:docPr id="16" name="Picture 16" descr="Figure 13-1  Cell-Cycle Scoring controls" title="Figure 13-1  Cell-Cycle Scoring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ell_cycle_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D954" w14:textId="77777777">
      <w:pPr>
        <w:pStyle w:val="1"/>
      </w:pPr>
      <w:r>
        <w:t>Figure 13-1  Cell-Cycle Scoring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3504C1D3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74DF8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716DC" w14:textId="77777777">
            <w:pPr>
              <w:spacing w:after="0"/>
            </w:pPr>
            <w:r>
              <w:rPr>
                <w:sz w:val="17"/>
              </w:rPr>
              <w:t>Open Cell-Cycle Scoring.</w:t>
            </w:r>
          </w:p>
        </w:tc>
      </w:tr>
      <w:tr w14:paraId="1DDC5CB2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C9592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2B451" w14:textId="77777777">
            <w:pPr>
              <w:spacing w:after="0"/>
            </w:pPr>
            <w:r>
              <w:rPr>
                <w:sz w:val="17"/>
              </w:rPr>
              <w:t>Select the object, S/G2M markers, embedding, and display settings.</w:t>
            </w:r>
          </w:p>
        </w:tc>
      </w:tr>
      <w:tr w14:paraId="2955259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CE74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0E3F0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09C1FE78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EC1B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9FFA9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724BEFAC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56067A07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68E85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Select built-in or custom S/G2M markers and an existing UMAP or t-SNE embedding.</w:t>
            </w:r>
          </w:p>
        </w:tc>
      </w:tr>
    </w:tbl>
    <w:p w14:paraId="51844618" w14:textId="77777777">
      <w:r>
        <w:br w:type="page"/>
      </w:r>
    </w:p>
    <w:p w14:paraId="5A81E19B" w14:textId="77777777">
      <w:pPr>
        <w:pStyle w:val="11"/>
      </w:pPr>
      <w:bookmarkStart w:id="22" w:name="_Toc237184173"/>
      <w:r>
        <w:lastRenderedPageBreak/>
        <w:t>14  Trajectory Analysis</w:t>
      </w:r>
      <w:bookmarkEnd w:id="22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26223A9F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8DDD0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Build a Monocle3 trajectory and pseudotime for selected cells.  Before you run it: An annotated object and embedding exist, and the target cells plus root and terminal states are defined.</w:t>
            </w:r>
          </w:p>
        </w:tc>
      </w:tr>
    </w:tbl>
    <w:p w14:paraId="0A2FB93C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4F079442" wp14:editId="70CF7D18">
            <wp:extent cx="5472000" cy="2928375"/>
            <wp:effectExtent l="0" t="0" r="0" b="0"/>
            <wp:docPr id="17" name="Picture 17" descr="Figure 14-1  Trajectory Analysis controls" title="Figure 14-1  Trajectory Analysis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trajectory_p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F39C" w14:textId="77777777">
      <w:pPr>
        <w:pStyle w:val="1"/>
      </w:pPr>
      <w:r>
        <w:t>Figure 14-1  Trajectory Analysis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243F2F23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B861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63A85F" w14:textId="77777777">
            <w:pPr>
              <w:spacing w:after="0"/>
            </w:pPr>
            <w:r>
              <w:rPr>
                <w:sz w:val="17"/>
              </w:rPr>
              <w:t>Open Trajectory Analysis.</w:t>
            </w:r>
          </w:p>
        </w:tc>
      </w:tr>
      <w:tr w14:paraId="7A1350C6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01766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E7B0C" w14:textId="77777777">
            <w:pPr>
              <w:spacing w:after="0"/>
            </w:pPr>
            <w:r>
              <w:rPr>
                <w:sz w:val="17"/>
              </w:rPr>
              <w:t>Select the object, cell types, Monocle3, root and terminal states, and display settings.</w:t>
            </w:r>
          </w:p>
        </w:tc>
      </w:tr>
      <w:tr w14:paraId="2D932181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EBED4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BB172" w14:textId="77777777">
            <w:pPr>
              <w:spacing w:after="0"/>
            </w:pPr>
            <w:r>
              <w:rPr>
                <w:sz w:val="17"/>
              </w:rPr>
              <w:t>Click Run Current Step.</w:t>
            </w:r>
          </w:p>
        </w:tc>
      </w:tr>
      <w:tr w14:paraId="5D47587B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92975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82DF1" w14:textId="77777777">
            <w:pPr>
              <w:spacing w:after="0"/>
            </w:pPr>
            <w:r>
              <w:rPr>
                <w:sz w:val="17"/>
              </w:rPr>
              <w:t>When the Log reports success, click Confirm and Continue.</w:t>
            </w:r>
          </w:p>
        </w:tc>
      </w:tr>
    </w:tbl>
    <w:p w14:paraId="151A5B80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1E130CBA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34F7CC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Monocle3; select target cells, root and terminal states, embedding, and trajectory display options.</w:t>
            </w:r>
          </w:p>
        </w:tc>
      </w:tr>
    </w:tbl>
    <w:p w14:paraId="5BDBF736" w14:textId="77777777">
      <w:r>
        <w:br w:type="page"/>
      </w:r>
    </w:p>
    <w:p w14:paraId="20A7C2F0" w14:textId="77777777">
      <w:pPr>
        <w:pStyle w:val="11"/>
      </w:pPr>
      <w:bookmarkStart w:id="23" w:name="_Toc237184174"/>
      <w:r>
        <w:lastRenderedPageBreak/>
        <w:t>15  Export Report</w:t>
      </w:r>
      <w:bookmarkEnd w:id="23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729C6CEF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E2F60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Export H5AD, Seurat objects, project packages, figures, tables, and report files.  Before you run it: At least one exportable object or result exists and a writable output directory is available.</w:t>
            </w:r>
          </w:p>
        </w:tc>
      </w:tr>
    </w:tbl>
    <w:p w14:paraId="760BFEB6" w14:textId="77777777">
      <w:pPr>
        <w:pStyle w:val="21"/>
      </w:pPr>
      <w:r>
        <w:t>Choose what to export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143"/>
      </w:tblGrid>
      <w:tr w14:paraId="296EFDE2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78FEB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Export</w:t>
            </w:r>
          </w:p>
        </w:tc>
        <w:tc>
          <w:tcPr>
            <w:tcW w:w="714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8F153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Use it for</w:t>
            </w:r>
          </w:p>
        </w:tc>
      </w:tr>
      <w:tr w14:paraId="64EB4B9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E7CFA" w14:textId="77777777">
            <w:pPr>
              <w:spacing w:after="0"/>
            </w:pPr>
            <w:r>
              <w:rPr>
                <w:sz w:val="16"/>
              </w:rPr>
              <w:t>H5AD</w:t>
            </w:r>
          </w:p>
        </w:tc>
        <w:tc>
          <w:tcPr>
            <w:tcW w:w="71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D4D4D" w14:textId="77777777">
            <w:pPr>
              <w:spacing w:after="0"/>
            </w:pPr>
            <w:r>
              <w:rPr>
                <w:sz w:val="16"/>
              </w:rPr>
              <w:t>Exchange an analysis object with AnnData-compatible tools.</w:t>
            </w:r>
          </w:p>
        </w:tc>
      </w:tr>
      <w:tr w14:paraId="78287D06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F46FB" w14:textId="77777777">
            <w:pPr>
              <w:spacing w:after="0"/>
            </w:pPr>
            <w:r>
              <w:rPr>
                <w:sz w:val="16"/>
              </w:rPr>
              <w:t>Project RDS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2D956" w14:textId="77777777">
            <w:pPr>
              <w:spacing w:after="0"/>
            </w:pPr>
            <w:r>
              <w:rPr>
                <w:sz w:val="16"/>
              </w:rPr>
              <w:t>Save the project object for later use in scFlow Studio Agent.</w:t>
            </w:r>
          </w:p>
        </w:tc>
      </w:tr>
      <w:tr w14:paraId="25A654E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145A4" w14:textId="77777777">
            <w:pPr>
              <w:spacing w:after="0"/>
            </w:pPr>
            <w:r>
              <w:rPr>
                <w:sz w:val="16"/>
              </w:rPr>
              <w:t>Seurat RDS</w:t>
            </w:r>
          </w:p>
        </w:tc>
        <w:tc>
          <w:tcPr>
            <w:tcW w:w="71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98528" w14:textId="77777777">
            <w:pPr>
              <w:spacing w:after="0"/>
            </w:pPr>
            <w:r>
              <w:rPr>
                <w:sz w:val="16"/>
              </w:rPr>
              <w:t>Save a Seurat object for downstream work in R.</w:t>
            </w:r>
          </w:p>
        </w:tc>
      </w:tr>
      <w:tr w14:paraId="6C3D4869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4080B" w14:textId="77777777">
            <w:pPr>
              <w:spacing w:after="0"/>
            </w:pPr>
            <w:r>
              <w:rPr>
                <w:sz w:val="16"/>
              </w:rPr>
              <w:t>PNG / PDF / SVG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57DF1" w14:textId="77777777">
            <w:pPr>
              <w:spacing w:after="0"/>
            </w:pPr>
            <w:r>
              <w:rPr>
                <w:sz w:val="16"/>
              </w:rPr>
              <w:t>Export generated figures at the selected output resolution.</w:t>
            </w:r>
          </w:p>
        </w:tc>
      </w:tr>
      <w:tr w14:paraId="69BBBC6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FD763" w14:textId="77777777">
            <w:pPr>
              <w:spacing w:after="0"/>
            </w:pPr>
            <w:r>
              <w:rPr>
                <w:sz w:val="16"/>
              </w:rPr>
              <w:t>CSV / TSV / TXT</w:t>
            </w:r>
          </w:p>
        </w:tc>
        <w:tc>
          <w:tcPr>
            <w:tcW w:w="714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6B287" w14:textId="77777777">
            <w:pPr>
              <w:spacing w:after="0"/>
            </w:pPr>
            <w:r>
              <w:rPr>
                <w:sz w:val="16"/>
              </w:rPr>
              <w:t>Export result tables.</w:t>
            </w:r>
          </w:p>
        </w:tc>
      </w:tr>
      <w:tr w14:paraId="13682F53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7DA0A" w14:textId="77777777">
            <w:pPr>
              <w:spacing w:after="0"/>
            </w:pPr>
            <w:r>
              <w:rPr>
                <w:sz w:val="16"/>
              </w:rPr>
              <w:t>Complete analysis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49FEE" w14:textId="77777777">
            <w:pPr>
              <w:spacing w:after="0"/>
            </w:pPr>
            <w:r>
              <w:rPr>
                <w:sz w:val="16"/>
              </w:rPr>
              <w:t>Collect the selected analysis files in a user-chosen output directory.</w:t>
            </w:r>
          </w:p>
        </w:tc>
      </w:tr>
    </w:tbl>
    <w:p w14:paraId="1EEC5008" w14:textId="77777777">
      <w:pPr>
        <w:spacing w:after="20"/>
      </w:pPr>
    </w:p>
    <w:p w14:paraId="6AC70451" w14:textId="77777777">
      <w:pPr>
        <w:pStyle w:val="21"/>
      </w:pPr>
      <w:r>
        <w:t>Run the export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391"/>
      </w:tblGrid>
      <w:tr w14:paraId="6CC4E14D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D8737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83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9497B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14:paraId="3903EE82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43D49" w14:textId="77777777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FEC2B" w14:textId="77777777">
            <w:pPr>
              <w:spacing w:after="0"/>
            </w:pPr>
            <w:r>
              <w:rPr>
                <w:sz w:val="17"/>
              </w:rPr>
              <w:t>Open Export Report.</w:t>
            </w:r>
          </w:p>
        </w:tc>
      </w:tr>
      <w:tr w14:paraId="7D133D61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1D69A" w14:textId="77777777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2C8F0" w14:textId="77777777">
            <w:pPr>
              <w:spacing w:after="0"/>
            </w:pPr>
            <w:r>
              <w:rPr>
                <w:sz w:val="17"/>
              </w:rPr>
              <w:t>Choose the object, format, and a writable output directory.</w:t>
            </w:r>
          </w:p>
        </w:tc>
      </w:tr>
      <w:tr w14:paraId="53525B6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6BA28" w14:textId="77777777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8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088F0" w14:textId="77777777">
            <w:pPr>
              <w:spacing w:after="0"/>
            </w:pPr>
            <w:r>
              <w:rPr>
                <w:sz w:val="17"/>
              </w:rPr>
              <w:t>Use the relevant export button, or Run Current Step for the configured main export.</w:t>
            </w:r>
          </w:p>
        </w:tc>
      </w:tr>
      <w:tr w14:paraId="4E7B7196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9F802" w14:textId="77777777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83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FC19ED" w14:textId="77777777">
            <w:pPr>
              <w:spacing w:after="0"/>
            </w:pPr>
            <w:r>
              <w:rPr>
                <w:sz w:val="17"/>
              </w:rPr>
              <w:t>Check the Log and verify the generated files in the selected directory.</w:t>
            </w:r>
          </w:p>
        </w:tc>
      </w:tr>
    </w:tbl>
    <w:p w14:paraId="70C1752F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10D456B7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B98947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Preview DPI 150; Export DPI 300; ensure that the output drive has sufficient free space.</w:t>
            </w:r>
          </w:p>
        </w:tc>
      </w:tr>
    </w:tbl>
    <w:p w14:paraId="3D0F6FDD" w14:textId="77777777">
      <w:r>
        <w:br w:type="page"/>
      </w:r>
    </w:p>
    <w:p w14:paraId="144352C5" w14:textId="77777777">
      <w:pPr>
        <w:pStyle w:val="11"/>
      </w:pPr>
      <w:bookmarkStart w:id="24" w:name="_Toc237184175"/>
      <w:r>
        <w:lastRenderedPageBreak/>
        <w:t>16  AI Scientific Manuscript Agent</w:t>
      </w:r>
      <w:bookmarkEnd w:id="24"/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0A0F59DA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CB0F1A" w14:textId="77777777">
            <w:pPr>
              <w:spacing w:after="0"/>
            </w:pPr>
            <w:r>
              <w:rPr>
                <w:b/>
                <w:color w:val="2E75B6"/>
              </w:rPr>
              <w:t xml:space="preserve">Purpose  </w:t>
            </w:r>
            <w:r>
              <w:t>Connect a compatible large-language-model service to organize completed analyses into a manuscript draft and exportable content.  Before you run it: The target analyses are complete and recognized by Verify Report; online providers also require network access.</w:t>
            </w:r>
          </w:p>
        </w:tc>
      </w:tr>
    </w:tbl>
    <w:p w14:paraId="09F6A7FC" w14:textId="77777777">
      <w:pPr>
        <w:keepNext/>
        <w:spacing w:before="60" w:after="0"/>
        <w:jc w:val="center"/>
      </w:pPr>
      <w:r>
        <w:rPr>
          <w:noProof/>
        </w:rPr>
        <w:drawing>
          <wp:inline distT="0" distB="0" distL="0" distR="0" wp14:anchorId="62FEE8BE" wp14:editId="6833B7EF">
            <wp:extent cx="5472000" cy="2928375"/>
            <wp:effectExtent l="0" t="0" r="0" b="0"/>
            <wp:docPr id="18" name="Picture 18" descr="Figure 16-1  AI Scientific Manuscript Agent controls" title="Figure 16-1  AI Scientific Manuscript Agent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i_manuscript_agent_p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3354" w14:textId="77777777">
      <w:pPr>
        <w:pStyle w:val="1"/>
      </w:pPr>
      <w:r>
        <w:t>Figure 16-1  AI Scientific Manuscript Agent controls</w:t>
      </w:r>
    </w:p>
    <w:tbl>
      <w:tblPr>
        <w:tblW w:w="0" w:type="auto"/>
        <w:jc w:val="center"/>
        <w:tblBorders>
          <w:top w:val="single" w:sz="2" w:space="0" w:color="E5C9CB"/>
          <w:left w:val="single" w:sz="2" w:space="0" w:color="E5C9CB"/>
          <w:bottom w:val="single" w:sz="2" w:space="0" w:color="E5C9CB"/>
          <w:right w:val="single" w:sz="2" w:space="0" w:color="E5C9CB"/>
          <w:insideH w:val="single" w:sz="2" w:space="0" w:color="E5C9CB"/>
          <w:insideV w:val="single" w:sz="2" w:space="0" w:color="E5C9CB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8872"/>
      </w:tblGrid>
      <w:tr w14:paraId="6683F48E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913FB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1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03E53" w14:textId="77777777">
            <w:pPr>
              <w:spacing w:after="0"/>
            </w:pPr>
            <w:r>
              <w:rPr>
                <w:sz w:val="17"/>
              </w:rPr>
              <w:t>Open AI Scientific Manuscript Agent.</w:t>
            </w:r>
          </w:p>
        </w:tc>
      </w:tr>
      <w:tr w14:paraId="5926E7EE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9E14C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2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082A" w14:textId="77777777">
            <w:pPr>
              <w:spacing w:after="0"/>
            </w:pPr>
            <w:r>
              <w:rPr>
                <w:sz w:val="17"/>
              </w:rPr>
              <w:t>Enter Provider, API key, Base URL, and Model, then click Test Connection.</w:t>
            </w:r>
          </w:p>
        </w:tc>
      </w:tr>
      <w:tr w14:paraId="2C1387B0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C89E7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3</w:t>
            </w:r>
          </w:p>
        </w:tc>
        <w:tc>
          <w:tcPr>
            <w:tcW w:w="8872" w:type="dxa"/>
            <w:shd w:val="clear" w:color="auto" w:fill="FFFDF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32F1F" w14:textId="77777777">
            <w:pPr>
              <w:spacing w:after="0"/>
            </w:pPr>
            <w:r>
              <w:rPr>
                <w:sz w:val="17"/>
              </w:rPr>
              <w:t>Proceed through Verify Report, Select Analyses, Prepare Evidence, Approve Outline, Generate Draft, and Review &amp; Export.</w:t>
            </w:r>
          </w:p>
        </w:tc>
      </w:tr>
      <w:tr w14:paraId="55B1D9EC" w14:textId="77777777">
        <w:trPr>
          <w:jc w:val="center"/>
        </w:trPr>
        <w:tc>
          <w:tcPr>
            <w:tcW w:w="652" w:type="dxa"/>
            <w:shd w:val="clear" w:color="auto" w:fill="F8ED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93319" w14:textId="77777777">
            <w:pPr>
              <w:spacing w:after="0"/>
              <w:jc w:val="center"/>
            </w:pPr>
            <w:r>
              <w:rPr>
                <w:b/>
                <w:color w:val="A94349"/>
                <w:sz w:val="17"/>
              </w:rPr>
              <w:t>4</w:t>
            </w:r>
          </w:p>
        </w:tc>
        <w:tc>
          <w:tcPr>
            <w:tcW w:w="8872" w:type="dxa"/>
            <w:shd w:val="clear" w:color="auto" w:fill="FBF8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9F67D" w14:textId="77777777">
            <w:pPr>
              <w:spacing w:after="0"/>
            </w:pPr>
            <w:r>
              <w:rPr>
                <w:sz w:val="17"/>
              </w:rPr>
              <w:t>Enter an instruction in the message box and click Send.</w:t>
            </w:r>
          </w:p>
        </w:tc>
      </w:tr>
    </w:tbl>
    <w:p w14:paraId="23021BA3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2BAF1751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EAFB15" w14:textId="77777777">
            <w:pPr>
              <w:spacing w:after="0"/>
            </w:pPr>
            <w:r>
              <w:rPr>
                <w:b/>
                <w:color w:val="2E75B6"/>
              </w:rPr>
              <w:t xml:space="preserve">Common settings  </w:t>
            </w:r>
            <w:r>
              <w:t>Qwen example: select Alibaba Qwen (DashScope), keep the prefilled Base URL, enter the provider's model ID, choose Session Only for the API key, and click Test Connection.</w:t>
            </w:r>
          </w:p>
        </w:tc>
      </w:tr>
    </w:tbl>
    <w:p w14:paraId="771E4B39" w14:textId="77777777">
      <w:r>
        <w:br w:type="page"/>
      </w:r>
    </w:p>
    <w:p w14:paraId="6038D0E0" w14:textId="77777777">
      <w:pPr>
        <w:pStyle w:val="11"/>
      </w:pPr>
      <w:bookmarkStart w:id="25" w:name="_Toc237184176"/>
      <w:r>
        <w:lastRenderedPageBreak/>
        <w:t>Common Parameter Reference</w:t>
      </w:r>
      <w:bookmarkEnd w:id="25"/>
    </w:p>
    <w:p w14:paraId="7EB21549" w14:textId="77777777">
      <w:r>
        <w:t>This page summarizes the parameters most often encountered in the interface. First-time users can keep the listed defaults, then adjust them to match the experimental design.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14:paraId="7A01E1FA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791A6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CB5829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14:paraId="5C5E04F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71FCB" w14:textId="77777777">
            <w:pPr>
              <w:spacing w:after="0"/>
            </w:pPr>
            <w:r>
              <w:rPr>
                <w:sz w:val="16"/>
              </w:rPr>
              <w:t>UMI / genes / percent.mt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B7ED9" w14:textId="77777777">
            <w:pPr>
              <w:spacing w:after="0"/>
            </w:pPr>
            <w:r>
              <w:rPr>
                <w:sz w:val="16"/>
              </w:rPr>
              <w:t>Total counts, detected genes, and mitochondrial percentage per cell; used for QC filtering.</w:t>
            </w:r>
          </w:p>
        </w:tc>
      </w:tr>
      <w:tr w14:paraId="0755CD31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1C2DD" w14:textId="77777777">
            <w:pPr>
              <w:spacing w:after="0"/>
            </w:pPr>
            <w:r>
              <w:rPr>
                <w:sz w:val="16"/>
              </w:rPr>
              <w:t>HVG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D5C2B" w14:textId="77777777">
            <w:pPr>
              <w:spacing w:after="0"/>
            </w:pPr>
            <w:r>
              <w:rPr>
                <w:sz w:val="16"/>
              </w:rPr>
              <w:t>Number of highly variable genes used for PCA, clustering, and embedding.</w:t>
            </w:r>
          </w:p>
        </w:tc>
      </w:tr>
      <w:tr w14:paraId="6CE2DBB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D960A" w14:textId="77777777">
            <w:pPr>
              <w:spacing w:after="0"/>
            </w:pPr>
            <w:r>
              <w:rPr>
                <w:sz w:val="16"/>
              </w:rPr>
              <w:t>PCs / dims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1AAD0" w14:textId="77777777">
            <w:pPr>
              <w:spacing w:after="0"/>
            </w:pPr>
            <w:r>
              <w:rPr>
                <w:sz w:val="16"/>
              </w:rPr>
              <w:t>Principal-component range used for neighbors, clustering, or dimensional reduction.</w:t>
            </w:r>
          </w:p>
        </w:tc>
      </w:tr>
      <w:tr w14:paraId="7ACBC5C1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3A01F" w14:textId="77777777">
            <w:pPr>
              <w:spacing w:after="0"/>
            </w:pPr>
            <w:r>
              <w:rPr>
                <w:sz w:val="16"/>
              </w:rPr>
              <w:t>resolution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2985B" w14:textId="77777777">
            <w:pPr>
              <w:spacing w:after="0"/>
            </w:pPr>
            <w:r>
              <w:rPr>
                <w:sz w:val="16"/>
              </w:rPr>
              <w:t>Clustering granularity; a larger value generally produces more clusters.</w:t>
            </w:r>
          </w:p>
        </w:tc>
      </w:tr>
      <w:tr w14:paraId="2922D1A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E7020" w14:textId="77777777">
            <w:pPr>
              <w:spacing w:after="0"/>
            </w:pPr>
            <w:r>
              <w:rPr>
                <w:sz w:val="16"/>
              </w:rPr>
              <w:t>Seed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074F0" w14:textId="77777777">
            <w:pPr>
              <w:spacing w:after="0"/>
            </w:pPr>
            <w:r>
              <w:rPr>
                <w:sz w:val="16"/>
              </w:rPr>
              <w:t>Random seed. Keep it unchanged when reproducing the same workflow.</w:t>
            </w:r>
          </w:p>
        </w:tc>
      </w:tr>
      <w:tr w14:paraId="275A9D08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21C42" w14:textId="77777777">
            <w:pPr>
              <w:spacing w:after="0"/>
            </w:pPr>
            <w:r>
              <w:rPr>
                <w:sz w:val="16"/>
              </w:rPr>
              <w:t>Expected rate / pN / pK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2DDFB" w14:textId="77777777">
            <w:pPr>
              <w:spacing w:after="0"/>
            </w:pPr>
            <w:r>
              <w:rPr>
                <w:sz w:val="16"/>
              </w:rPr>
              <w:t>Expected doublet rate and neighborhood parameters for DoubletFinder; Auto pK can search for pK.</w:t>
            </w:r>
          </w:p>
        </w:tc>
      </w:tr>
      <w:tr w14:paraId="09B35D0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7143F" w14:textId="77777777">
            <w:pPr>
              <w:spacing w:after="0"/>
            </w:pPr>
            <w:r>
              <w:rPr>
                <w:sz w:val="16"/>
              </w:rPr>
              <w:t>Batch key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094A4" w14:textId="77777777">
            <w:pPr>
              <w:spacing w:after="0"/>
            </w:pPr>
            <w:r>
              <w:rPr>
                <w:sz w:val="16"/>
              </w:rPr>
              <w:t>Metadata column representing a technical batch. Do not substitute a biological treatment group.</w:t>
            </w:r>
          </w:p>
        </w:tc>
      </w:tr>
      <w:tr w14:paraId="323E8A98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49C5A" w14:textId="77777777">
            <w:pPr>
              <w:spacing w:after="0"/>
            </w:pPr>
            <w:r>
              <w:rPr>
                <w:sz w:val="16"/>
              </w:rPr>
              <w:t>min.pct / logFC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EF51F" w14:textId="77777777">
            <w:pPr>
              <w:spacing w:after="0"/>
            </w:pPr>
            <w:r>
              <w:rPr>
                <w:sz w:val="16"/>
              </w:rPr>
              <w:t>Expression-percentage and effect-size thresholds for markers or differential analysis.</w:t>
            </w:r>
          </w:p>
        </w:tc>
      </w:tr>
      <w:tr w14:paraId="40A3E87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7A503" w14:textId="77777777">
            <w:pPr>
              <w:spacing w:after="0"/>
            </w:pPr>
            <w:r>
              <w:rPr>
                <w:sz w:val="16"/>
              </w:rPr>
              <w:t>adjusted P cutoff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623BFB" w14:textId="77777777">
            <w:pPr>
              <w:spacing w:after="0"/>
            </w:pPr>
            <w:r>
              <w:rPr>
                <w:sz w:val="16"/>
              </w:rPr>
              <w:t>Significance cutoff after multiple-testing correction.</w:t>
            </w:r>
          </w:p>
        </w:tc>
      </w:tr>
      <w:tr w14:paraId="70DDC08E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B2195" w14:textId="77777777">
            <w:pPr>
              <w:spacing w:after="0"/>
            </w:pPr>
            <w:r>
              <w:rPr>
                <w:sz w:val="16"/>
              </w:rPr>
              <w:t>reduction / embedding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43BFB" w14:textId="77777777">
            <w:pPr>
              <w:spacing w:after="0"/>
            </w:pPr>
            <w:r>
              <w:rPr>
                <w:sz w:val="16"/>
              </w:rPr>
              <w:t>Current UMAP or t-SNE coordinates. Recheck subcluster settings after rerunning the major clustering step.</w:t>
            </w:r>
          </w:p>
        </w:tc>
      </w:tr>
      <w:tr w14:paraId="5422841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10685" w14:textId="77777777">
            <w:pPr>
              <w:spacing w:after="0"/>
            </w:pPr>
            <w:r>
              <w:rPr>
                <w:sz w:val="16"/>
              </w:rPr>
              <w:t>GMT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3C468" w14:textId="77777777">
            <w:pPr>
              <w:spacing w:after="0"/>
            </w:pPr>
            <w:r>
              <w:rPr>
                <w:sz w:val="16"/>
              </w:rPr>
              <w:t>Gene-set file whose species, gene-ID type, and analysis object must match.</w:t>
            </w:r>
          </w:p>
        </w:tc>
      </w:tr>
      <w:tr w14:paraId="6E3BC057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1B2E1" w14:textId="77777777">
            <w:pPr>
              <w:spacing w:after="0"/>
            </w:pPr>
            <w:r>
              <w:rPr>
                <w:sz w:val="16"/>
              </w:rPr>
              <w:t>identity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843BE" w14:textId="77777777">
            <w:pPr>
              <w:spacing w:after="0"/>
            </w:pPr>
            <w:r>
              <w:rPr>
                <w:sz w:val="16"/>
              </w:rPr>
              <w:t>Cell grouping or cell-type label column used by analyses such as CellChat.</w:t>
            </w:r>
          </w:p>
        </w:tc>
      </w:tr>
      <w:tr w14:paraId="54A6F17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EAE2A" w14:textId="77777777">
            <w:pPr>
              <w:spacing w:after="0"/>
            </w:pPr>
            <w:r>
              <w:rPr>
                <w:sz w:val="16"/>
              </w:rPr>
              <w:t>root / terminal</w:t>
            </w:r>
          </w:p>
        </w:tc>
        <w:tc>
          <w:tcPr>
            <w:tcW w:w="66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C2BBE" w14:textId="77777777">
            <w:pPr>
              <w:spacing w:after="0"/>
            </w:pPr>
            <w:r>
              <w:rPr>
                <w:sz w:val="16"/>
              </w:rPr>
              <w:t>Starting and terminal states in trajectory analysis; select them according to the biological question.</w:t>
            </w:r>
          </w:p>
        </w:tc>
      </w:tr>
    </w:tbl>
    <w:p w14:paraId="238B1D9B" w14:textId="77777777">
      <w:pPr>
        <w:spacing w:after="20"/>
      </w:pPr>
    </w:p>
    <w:tbl>
      <w:tblPr>
        <w:tblW w:w="0" w:type="auto"/>
        <w:jc w:val="center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8" w:space="0" w:color="2E75B6"/>
          <w:insideV w:val="single" w:sz="8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14:paraId="0F0E0BE8" w14:textId="77777777">
        <w:trPr>
          <w:jc w:val="center"/>
        </w:trPr>
        <w:tc>
          <w:tcPr>
            <w:tcW w:w="963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B8AF1" w14:textId="77777777">
            <w:pPr>
              <w:spacing w:after="0"/>
            </w:pPr>
            <w:r>
              <w:rPr>
                <w:b/>
                <w:color w:val="2E75B6"/>
              </w:rPr>
              <w:t xml:space="preserve">Reproducibility  </w:t>
            </w:r>
            <w:r>
              <w:t>For comparable runs, keep the input data, sample order, parameters, Seed, application version, and bundled R environment identical.</w:t>
            </w:r>
          </w:p>
        </w:tc>
      </w:tr>
    </w:tbl>
    <w:p w14:paraId="28EB7A48" w14:textId="77777777">
      <w:r>
        <w:br w:type="page"/>
      </w:r>
    </w:p>
    <w:p w14:paraId="6CBEDC11" w14:textId="77777777">
      <w:pPr>
        <w:pStyle w:val="11"/>
      </w:pPr>
      <w:bookmarkStart w:id="26" w:name="_Toc237184177"/>
      <w:r>
        <w:lastRenderedPageBreak/>
        <w:t>Troubleshooting</w:t>
      </w:r>
      <w:bookmarkEnd w:id="26"/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633"/>
      </w:tblGrid>
      <w:tr w14:paraId="661FDB7F" w14:textId="77777777">
        <w:trPr>
          <w:cantSplit/>
          <w:tblHeader/>
          <w:jc w:val="center"/>
        </w:trPr>
        <w:tc>
          <w:tcPr>
            <w:tcW w:w="28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D760D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w="663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6D6EC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What to do</w:t>
            </w:r>
          </w:p>
        </w:tc>
      </w:tr>
      <w:tr w14:paraId="1D13D8FC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48714" w14:textId="77777777">
            <w:pPr>
              <w:spacing w:after="0"/>
            </w:pPr>
            <w:r>
              <w:rPr>
                <w:sz w:val="16"/>
              </w:rPr>
              <w:t>The first QC run starts slowly</w:t>
            </w:r>
          </w:p>
        </w:tc>
        <w:tc>
          <w:tcPr>
            <w:tcW w:w="66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EF257" w14:textId="77777777">
            <w:pPr>
              <w:spacing w:after="0"/>
            </w:pPr>
            <w:r>
              <w:rPr>
                <w:sz w:val="16"/>
              </w:rPr>
              <w:t>The bundled R runtime is being prepared on its first use. Wait while progress and the Log continue to update.</w:t>
            </w:r>
          </w:p>
        </w:tc>
      </w:tr>
      <w:tr w14:paraId="08EF8E0E" w14:textId="77777777"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80C2C" w14:textId="77777777">
            <w:pPr>
              <w:spacing w:after="0"/>
            </w:pPr>
            <w:r>
              <w:rPr>
                <w:sz w:val="16"/>
              </w:rPr>
              <w:t>H5AD import takes a long time</w:t>
            </w:r>
          </w:p>
        </w:tc>
        <w:tc>
          <w:tcPr>
            <w:tcW w:w="663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7B88C" w14:textId="77777777">
            <w:pPr>
              <w:spacing w:after="0"/>
            </w:pPr>
            <w:r>
              <w:rPr>
                <w:sz w:val="16"/>
              </w:rPr>
              <w:t>Confirm that the window remains responsive, the disk is active, and sufficient space is available. Large sparse matrices need more time and memory.</w:t>
            </w:r>
          </w:p>
        </w:tc>
      </w:tr>
      <w:tr w14:paraId="3864502A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97597" w14:textId="77777777">
            <w:pPr>
              <w:spacing w:after="0"/>
            </w:pPr>
            <w:r>
              <w:rPr>
                <w:sz w:val="16"/>
              </w:rPr>
              <w:t>H5AD Group shows 0 or 1</w:t>
            </w:r>
          </w:p>
        </w:tc>
        <w:tc>
          <w:tcPr>
            <w:tcW w:w="66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11F22" w14:textId="77777777">
            <w:pPr>
              <w:spacing w:after="0"/>
            </w:pPr>
            <w:r>
              <w:rPr>
                <w:sz w:val="16"/>
              </w:rPr>
              <w:t>Edit the confirmation table to use the true experimental group names before proceeding to QC.</w:t>
            </w:r>
          </w:p>
        </w:tc>
      </w:tr>
      <w:tr w14:paraId="6EAAC097" w14:textId="77777777"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43BFD" w14:textId="77777777">
            <w:pPr>
              <w:spacing w:after="0"/>
            </w:pPr>
            <w:r>
              <w:rPr>
                <w:sz w:val="16"/>
              </w:rPr>
              <w:t>Environment Diagnostics shows system R</w:t>
            </w:r>
          </w:p>
        </w:tc>
        <w:tc>
          <w:tcPr>
            <w:tcW w:w="663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E45DB" w14:textId="77777777">
            <w:pPr>
              <w:spacing w:after="0"/>
            </w:pPr>
            <w:r>
              <w:rPr>
                <w:sz w:val="16"/>
              </w:rPr>
              <w:t>In Settings, select Auto or the bundled R runtime. Do not manually point to a system Rscript.</w:t>
            </w:r>
          </w:p>
        </w:tc>
      </w:tr>
      <w:tr w14:paraId="2B7BE4B1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B5F7C" w14:textId="77777777">
            <w:pPr>
              <w:spacing w:after="0"/>
            </w:pPr>
            <w:r>
              <w:rPr>
                <w:sz w:val="16"/>
              </w:rPr>
              <w:t>A black console window appears</w:t>
            </w:r>
          </w:p>
        </w:tc>
        <w:tc>
          <w:tcPr>
            <w:tcW w:w="66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AF0FC" w14:textId="77777777">
            <w:pPr>
              <w:spacing w:after="0"/>
            </w:pPr>
            <w:r>
              <w:rPr>
                <w:sz w:val="16"/>
              </w:rPr>
              <w:t>Use the packaged application and its launcher. Do not start Rscript directly.</w:t>
            </w:r>
          </w:p>
        </w:tc>
      </w:tr>
      <w:tr w14:paraId="32E8D960" w14:textId="77777777"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11891" w14:textId="77777777">
            <w:pPr>
              <w:spacing w:after="0"/>
            </w:pPr>
            <w:r>
              <w:rPr>
                <w:sz w:val="16"/>
              </w:rPr>
              <w:t>CellAssign runtime unavailable</w:t>
            </w:r>
          </w:p>
        </w:tc>
        <w:tc>
          <w:tcPr>
            <w:tcW w:w="663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84A59" w14:textId="77777777">
            <w:pPr>
              <w:spacing w:after="0"/>
            </w:pPr>
            <w:r>
              <w:rPr>
                <w:sz w:val="16"/>
              </w:rPr>
              <w:t>Reinstall the complete release package that contains vendor/cellassign_Rsrc.</w:t>
            </w:r>
          </w:p>
        </w:tc>
      </w:tr>
      <w:tr w14:paraId="313B7CC4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815B0" w14:textId="77777777">
            <w:pPr>
              <w:spacing w:after="0"/>
            </w:pPr>
            <w:r>
              <w:rPr>
                <w:sz w:val="16"/>
              </w:rPr>
              <w:t>A subcluster still uses an old embedding</w:t>
            </w:r>
          </w:p>
        </w:tc>
        <w:tc>
          <w:tcPr>
            <w:tcW w:w="66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4C44C" w14:textId="77777777">
            <w:pPr>
              <w:spacing w:after="0"/>
            </w:pPr>
            <w:r>
              <w:rPr>
                <w:sz w:val="16"/>
              </w:rPr>
              <w:t>After rerunning major clustering, reopen Subcluster Analysis and verify reduction.</w:t>
            </w:r>
          </w:p>
        </w:tc>
      </w:tr>
      <w:tr w14:paraId="14C49978" w14:textId="77777777">
        <w:trPr>
          <w:cantSplit/>
          <w:jc w:val="center"/>
        </w:trPr>
        <w:tc>
          <w:tcPr>
            <w:tcW w:w="289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E26EC" w14:textId="77777777">
            <w:pPr>
              <w:spacing w:after="0"/>
            </w:pPr>
            <w:r>
              <w:rPr>
                <w:sz w:val="16"/>
              </w:rPr>
              <w:t>A task fails</w:t>
            </w:r>
          </w:p>
        </w:tc>
        <w:tc>
          <w:tcPr>
            <w:tcW w:w="663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7FCA8" w14:textId="77777777">
            <w:pPr>
              <w:spacing w:after="0"/>
            </w:pPr>
            <w:r>
              <w:rPr>
                <w:sz w:val="16"/>
              </w:rPr>
              <w:t>Record the step name, parameters, final Log lines, and a screenshot before troubleshooting.</w:t>
            </w:r>
          </w:p>
        </w:tc>
      </w:tr>
    </w:tbl>
    <w:p w14:paraId="55403B4D" w14:textId="77777777">
      <w:pPr>
        <w:spacing w:after="20"/>
      </w:pPr>
    </w:p>
    <w:p w14:paraId="1C2FE758" w14:textId="77777777">
      <w:pPr>
        <w:pStyle w:val="21"/>
      </w:pPr>
      <w:r>
        <w:t>Stop and rerun</w:t>
      </w:r>
    </w:p>
    <w:p w14:paraId="74CAE3CC" w14:textId="77777777">
      <w:pPr>
        <w:pStyle w:val="10"/>
      </w:pPr>
      <w:r>
        <w:t>To stop a task, click Stop in the top toolbar and wait for the background process to finish.</w:t>
      </w:r>
    </w:p>
    <w:p w14:paraId="2691F83B" w14:textId="77777777">
      <w:pPr>
        <w:pStyle w:val="10"/>
      </w:pPr>
      <w:r>
        <w:t>After changing an upstream setting, rerun every downstream analysis that depends on that step.</w:t>
      </w:r>
    </w:p>
    <w:p w14:paraId="48ECB14C" w14:textId="77777777">
      <w:pPr>
        <w:pStyle w:val="10"/>
      </w:pPr>
      <w:r>
        <w:t>Clear Step Result removes only the current step result; confirm that its cache is no longer needed first.</w:t>
      </w:r>
    </w:p>
    <w:p w14:paraId="3B5A7D7D" w14:textId="77777777">
      <w:pPr>
        <w:pStyle w:val="21"/>
      </w:pPr>
      <w:r>
        <w:t>Security and privacy</w:t>
      </w:r>
    </w:p>
    <w:p w14:paraId="198CE5D3" w14:textId="77777777">
      <w:pPr>
        <w:pStyle w:val="10"/>
      </w:pPr>
      <w:r>
        <w:t>Do not store API keys or licenses in projects, logs, screenshots, or exported files.</w:t>
      </w:r>
    </w:p>
    <w:p w14:paraId="4D599915" w14:textId="77777777">
      <w:pPr>
        <w:pStyle w:val="10"/>
      </w:pPr>
      <w:r>
        <w:t>Before sharing a project, remove personal directories, sample identity information, and restricted raw data.</w:t>
      </w:r>
    </w:p>
    <w:p w14:paraId="015294C6" w14:textId="77777777">
      <w:pPr>
        <w:pStyle w:val="10"/>
      </w:pPr>
      <w:r>
        <w:t>When reporting a problem, include the application version, step name, input format, parameters, and a sanitized Log excerpt.</w:t>
      </w:r>
    </w:p>
    <w:sectPr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134" w:bottom="1020" w:left="1134" w:header="425" w:footer="4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18CC" w14:textId="77777777">
      <w:pPr>
        <w:spacing w:after="0" w:line="240" w:lineRule="auto"/>
      </w:pPr>
      <w:r>
        <w:separator/>
      </w:r>
    </w:p>
  </w:endnote>
  <w:endnote w:type="continuationSeparator" w:id="0">
    <w:p w14:paraId="1CF756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3EDC" w14:textId="77777777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8965" w14:textId="77777777">
    <w:pPr>
      <w:jc w:val="center"/>
    </w:pPr>
    <w:r>
      <w:rPr>
        <w:color w:val="667085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667085"/>
      </w:rPr>
      <w:t>1</w:t>
    </w:r>
    <w:r>
      <w:fldChar w:fldCharType="end"/>
    </w:r>
    <w:r>
      <w:rPr>
        <w:color w:val="667085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color w:val="667085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590B" w14:textId="77777777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EB783" w14:textId="77777777">
      <w:pPr>
        <w:spacing w:after="0" w:line="240" w:lineRule="auto"/>
      </w:pPr>
      <w:r>
        <w:separator/>
      </w:r>
    </w:p>
  </w:footnote>
  <w:footnote w:type="continuationSeparator" w:id="0">
    <w:p w14:paraId="6049EA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2EED" w14:textId="77777777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0B65" w14:textId="77777777">
    <w:pPr>
      <w:jc w:val="right"/>
    </w:pPr>
    <w:r>
      <w:rPr>
        <w:color w:val="667085"/>
        <w:sz w:val="16"/>
      </w:rPr>
      <w:t>scFlow Studio Agent V0.1.0  |  User Manual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2C7C4" w14:textId="77777777">
    <w:pPr>
      <w:pStyle w:val="a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633"/>
    <w:rsid w:val="00013161"/>
    <w:rsid w:val="00015DC7"/>
    <w:rsid w:val="00016E52"/>
    <w:rsid w:val="00040E6B"/>
    <w:rsid w:val="0004652B"/>
    <w:rsid w:val="00047916"/>
    <w:rsid w:val="00051D3F"/>
    <w:rsid w:val="00055614"/>
    <w:rsid w:val="000754FE"/>
    <w:rsid w:val="000A3CF0"/>
    <w:rsid w:val="000D1B6D"/>
    <w:rsid w:val="000D6FC2"/>
    <w:rsid w:val="000F77D8"/>
    <w:rsid w:val="001C5F15"/>
    <w:rsid w:val="00212B4E"/>
    <w:rsid w:val="00212DF1"/>
    <w:rsid w:val="00224FAE"/>
    <w:rsid w:val="00251D08"/>
    <w:rsid w:val="00252046"/>
    <w:rsid w:val="00276633"/>
    <w:rsid w:val="00283E8C"/>
    <w:rsid w:val="002913A4"/>
    <w:rsid w:val="002A131B"/>
    <w:rsid w:val="002C774B"/>
    <w:rsid w:val="002C7C36"/>
    <w:rsid w:val="002D3FCB"/>
    <w:rsid w:val="002E6F93"/>
    <w:rsid w:val="002F15F4"/>
    <w:rsid w:val="002F1790"/>
    <w:rsid w:val="00301240"/>
    <w:rsid w:val="003302B0"/>
    <w:rsid w:val="003472A5"/>
    <w:rsid w:val="003670A4"/>
    <w:rsid w:val="00392591"/>
    <w:rsid w:val="003A0653"/>
    <w:rsid w:val="003B0DD8"/>
    <w:rsid w:val="003B1BC5"/>
    <w:rsid w:val="003D3851"/>
    <w:rsid w:val="003E6385"/>
    <w:rsid w:val="003F2742"/>
    <w:rsid w:val="003F4C0B"/>
    <w:rsid w:val="004161DB"/>
    <w:rsid w:val="004206AE"/>
    <w:rsid w:val="00427992"/>
    <w:rsid w:val="0044294D"/>
    <w:rsid w:val="00444481"/>
    <w:rsid w:val="00453B12"/>
    <w:rsid w:val="004A404F"/>
    <w:rsid w:val="004B0D4F"/>
    <w:rsid w:val="004B139A"/>
    <w:rsid w:val="004B4404"/>
    <w:rsid w:val="005062CD"/>
    <w:rsid w:val="00506538"/>
    <w:rsid w:val="00560FB2"/>
    <w:rsid w:val="00584363"/>
    <w:rsid w:val="005A0BB6"/>
    <w:rsid w:val="005B18E2"/>
    <w:rsid w:val="005B46BC"/>
    <w:rsid w:val="005C294E"/>
    <w:rsid w:val="005C65B9"/>
    <w:rsid w:val="005F4C17"/>
    <w:rsid w:val="0060282F"/>
    <w:rsid w:val="00681B49"/>
    <w:rsid w:val="00695E6B"/>
    <w:rsid w:val="006B5FC4"/>
    <w:rsid w:val="006C07BC"/>
    <w:rsid w:val="00705041"/>
    <w:rsid w:val="007417D8"/>
    <w:rsid w:val="0075544E"/>
    <w:rsid w:val="00763A67"/>
    <w:rsid w:val="00765604"/>
    <w:rsid w:val="00794860"/>
    <w:rsid w:val="007B0955"/>
    <w:rsid w:val="007B754C"/>
    <w:rsid w:val="007E0F00"/>
    <w:rsid w:val="007E4B34"/>
    <w:rsid w:val="007E5845"/>
    <w:rsid w:val="007E68C8"/>
    <w:rsid w:val="007F0310"/>
    <w:rsid w:val="007F4ED3"/>
    <w:rsid w:val="008234DF"/>
    <w:rsid w:val="008651B4"/>
    <w:rsid w:val="00880F53"/>
    <w:rsid w:val="008E13FF"/>
    <w:rsid w:val="008E5FFB"/>
    <w:rsid w:val="009207E2"/>
    <w:rsid w:val="00925C0E"/>
    <w:rsid w:val="0093491F"/>
    <w:rsid w:val="0095696E"/>
    <w:rsid w:val="009730F3"/>
    <w:rsid w:val="00995041"/>
    <w:rsid w:val="009F5DA4"/>
    <w:rsid w:val="00A07A33"/>
    <w:rsid w:val="00A27E1C"/>
    <w:rsid w:val="00A32C3E"/>
    <w:rsid w:val="00A3678E"/>
    <w:rsid w:val="00A55C33"/>
    <w:rsid w:val="00A74A61"/>
    <w:rsid w:val="00AA3121"/>
    <w:rsid w:val="00AA636D"/>
    <w:rsid w:val="00AA7C52"/>
    <w:rsid w:val="00AC60E2"/>
    <w:rsid w:val="00AF0FF8"/>
    <w:rsid w:val="00AF39D1"/>
    <w:rsid w:val="00B42DB6"/>
    <w:rsid w:val="00B56B58"/>
    <w:rsid w:val="00B70267"/>
    <w:rsid w:val="00BB4C30"/>
    <w:rsid w:val="00BC2CF4"/>
    <w:rsid w:val="00BE1197"/>
    <w:rsid w:val="00BF1520"/>
    <w:rsid w:val="00BF23E3"/>
    <w:rsid w:val="00C6448E"/>
    <w:rsid w:val="00C67B59"/>
    <w:rsid w:val="00C8130D"/>
    <w:rsid w:val="00C84A27"/>
    <w:rsid w:val="00C9033B"/>
    <w:rsid w:val="00CB4B21"/>
    <w:rsid w:val="00D040FA"/>
    <w:rsid w:val="00D2187F"/>
    <w:rsid w:val="00D3072A"/>
    <w:rsid w:val="00D7578F"/>
    <w:rsid w:val="00D83FB7"/>
    <w:rsid w:val="00E00F9F"/>
    <w:rsid w:val="00E13D05"/>
    <w:rsid w:val="00E205FA"/>
    <w:rsid w:val="00E35B44"/>
    <w:rsid w:val="00E608E9"/>
    <w:rsid w:val="00E711C9"/>
    <w:rsid w:val="00E95C71"/>
    <w:rsid w:val="00E97808"/>
    <w:rsid w:val="00EA2B9A"/>
    <w:rsid w:val="00EC0043"/>
    <w:rsid w:val="00EF4B26"/>
    <w:rsid w:val="00F12FAB"/>
    <w:rsid w:val="00F13984"/>
    <w:rsid w:val="00F42372"/>
    <w:rsid w:val="00FB2D3D"/>
    <w:rsid w:val="00FC1DF2"/>
    <w:rsid w:val="00FF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66EF1"/>
  <w15:docId w15:val="{7F17F692-3E56-41F9-BDD9-64D1E62F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283" w:lineRule="auto"/>
    </w:pPr>
    <w:rPr>
      <w:rFonts w:ascii="微软雅黑" w:eastAsia="微软雅黑" w:hAnsi="微软雅黑"/>
      <w:color w:val="1F2937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pPr>
      <w:keepNext/>
      <w:spacing w:before="280" w:after="140"/>
      <w:outlineLvl w:val="0"/>
    </w:pPr>
    <w:rPr>
      <w:b/>
      <w:color w:val="1F4E78"/>
      <w:sz w:val="32"/>
    </w:rPr>
  </w:style>
  <w:style w:type="paragraph" w:customStyle="1" w:styleId="21">
    <w:name w:val="标题 21"/>
    <w:basedOn w:val="a"/>
    <w:pPr>
      <w:keepNext/>
      <w:spacing w:before="200" w:after="100"/>
      <w:outlineLvl w:val="1"/>
    </w:pPr>
    <w:rPr>
      <w:b/>
      <w:color w:val="2E75B6"/>
      <w:sz w:val="25"/>
    </w:rPr>
  </w:style>
  <w:style w:type="paragraph" w:customStyle="1" w:styleId="31">
    <w:name w:val="标题 31"/>
    <w:basedOn w:val="a"/>
    <w:pPr>
      <w:keepNext/>
      <w:spacing w:before="160"/>
      <w:outlineLvl w:val="2"/>
    </w:pPr>
    <w:rPr>
      <w:b/>
      <w:color w:val="7030A0"/>
      <w:sz w:val="21"/>
    </w:rPr>
  </w:style>
  <w:style w:type="paragraph" w:customStyle="1" w:styleId="ManualTitle">
    <w:name w:val="Manual Title"/>
    <w:basedOn w:val="a"/>
    <w:pPr>
      <w:spacing w:after="180"/>
    </w:pPr>
    <w:rPr>
      <w:b/>
      <w:color w:val="1F4E78"/>
      <w:sz w:val="50"/>
    </w:rPr>
  </w:style>
  <w:style w:type="paragraph" w:customStyle="1" w:styleId="ManualSubtitle">
    <w:name w:val="Manual Subtitle"/>
    <w:basedOn w:val="a"/>
    <w:rPr>
      <w:color w:val="2E75B6"/>
      <w:sz w:val="25"/>
    </w:rPr>
  </w:style>
  <w:style w:type="paragraph" w:customStyle="1" w:styleId="1">
    <w:name w:val="题注1"/>
    <w:basedOn w:val="a"/>
    <w:pPr>
      <w:spacing w:before="40" w:after="120"/>
      <w:jc w:val="center"/>
    </w:pPr>
    <w:rPr>
      <w:color w:val="667085"/>
      <w:sz w:val="16"/>
    </w:rPr>
  </w:style>
  <w:style w:type="paragraph" w:customStyle="1" w:styleId="10">
    <w:name w:val="列表项目符号1"/>
    <w:basedOn w:val="a"/>
    <w:pPr>
      <w:spacing w:after="40"/>
      <w:ind w:left="369" w:hanging="198"/>
    </w:pPr>
  </w:style>
  <w:style w:type="paragraph" w:styleId="a3">
    <w:name w:val="header"/>
    <w:basedOn w:val="a"/>
    <w:link w:val="a4"/>
    <w:uiPriority w:val="99"/>
    <w:unhideWhenUsed/>
    <w:rsid w:val="00BE11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BE1197"/>
    <w:rPr>
      <w:rFonts w:ascii="微软雅黑" w:eastAsia="微软雅黑" w:hAnsi="微软雅黑"/>
      <w:color w:val="1F2937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1197"/>
    <w:pPr>
      <w:tabs>
        <w:tab w:val="center" w:pos="4153"/>
        <w:tab w:val="right" w:pos="8306"/>
      </w:tabs>
      <w:snapToGrid w:val="0"/>
      <w:spacing w:line="240" w:lineRule="auto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BE1197"/>
    <w:rPr>
      <w:rFonts w:ascii="微软雅黑" w:eastAsia="微软雅黑" w:hAnsi="微软雅黑"/>
      <w:color w:val="1F2937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BE1197"/>
  </w:style>
  <w:style w:type="character" w:styleId="a7">
    <w:name w:val="Hyperlink"/>
    <w:basedOn w:val="a0"/>
    <w:uiPriority w:val="99"/>
    <w:unhideWhenUsed/>
    <w:rsid w:val="00BE119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29</Pages>
  <Words>3397</Words>
  <Characters>18512</Characters>
  <Application>Microsoft Office Word</Application>
  <DocSecurity>0</DocSecurity>
  <Lines>652</Lines>
  <Paragraphs>507</Paragraphs>
  <ScaleCrop>false</ScaleCrop>
  <Company>OpenAI</Company>
  <LinksUpToDate>false</LinksUpToDate>
  <CharactersWithSpaces>21511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scFlow Studio Agent V0.1.0 User Manual</dc:title>
  <dc:subject>Windows x64 installation, data import, and 16-step analysis workflow</dc:subject>
  <dc:creator/>
  <cp:keywords>scFlow Studio Agent, Windows, scRNA-seq, Seurat, H5AD</cp:keywords>
  <dc:description>Public English user manual</dc:description>
  <cp:lastModifiedBy/>
  <cp:revision>146</cp:revision>
  <cp:lastPrinted>2026-03-31T04:15:00Z</cp:lastPrinted>
  <dcterms:created xsi:type="dcterms:W3CDTF">2026-03-20T10:43:00Z</dcterms:created>
  <dcterms:modified xsi:type="dcterms:W3CDTF">2026-08-09T08:08:00Z</dcterms:modified>
</cp:coreProperties>
</file>