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BlockEmulator-X Netting 论文实现实验文档</w:t>
      </w:r>
    </w:p>
    <w:p>
      <w:pPr>
        <w:spacing w:after="9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支付意图、资金预留、批量撮合、Beacon MatchRoot 与分片内清算实现说明</w:t>
      </w:r>
    </w:p>
    <w:p>
      <w:pPr>
        <w:spacing w:after="9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生成日期：2026-09-07；仓库：/Users/ljn/Desktop/Newidea2026July/block-emulator-x-netting-dev</w:t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实现总览</w:t>
      </w:r>
    </w:p>
    <w:p>
      <w:pPr>
        <w:spacing w:after="90" w:before="60"/>
      </w:pPr>
      <w:r>
        <w:rPr>
          <w:rFonts w:ascii="Arial" w:cs="Arial" w:eastAsia="Arial" w:hAnsi="Arial"/>
          <w:sz w:val="22"/>
          <w:szCs w:val="22"/>
        </w:rPr>
        <w:t xml:space="preserve">本文档记录在 BlockEmulator-X 上实现“基于支付意图、资金预留、链下批量撮合、Beacon MatchRoot 确认、分片内并行清算与 fallback”的论文 idea 时，对原始代码所做的主要修改。</w:t>
      </w:r>
    </w:p>
    <w:p>
      <w:pPr>
        <w:spacing w:after="90" w:before="60"/>
      </w:pPr>
      <w:r>
        <w:rPr>
          <w:rFonts w:ascii="Arial" w:cs="Arial" w:eastAsia="Arial" w:hAnsi="Arial"/>
          <w:sz w:val="22"/>
          <w:szCs w:val="22"/>
        </w:rPr>
        <w:t xml:space="preserve">对比基线为原始仓库在 netting 分支开始前的提交 a5635e7；当前实现提交为 9f9751a，分支为 feat/block-netting。总体差异约为 97 个文件，新增约 11800 行，删除约 69 行。</w:t>
      </w:r>
    </w:p>
    <w:p>
      <w:pPr>
        <w:spacing w:after="90" w:before="60"/>
      </w:pPr>
      <w:r>
        <w:rPr>
          <w:rFonts w:ascii="Arial" w:cs="Arial" w:eastAsia="Arial" w:hAnsi="Arial"/>
          <w:sz w:val="22"/>
          <w:szCs w:val="22"/>
        </w:rPr>
        <w:t xml:space="preserve">实现原则是尽量不破坏 BlockEmulator-X 原有 static_relay / static_broker 路径，而是在 config.netting.enabled 打开时把 netting 作为一条可选协议路径挂到原有 PBFT、txblockop、supervisor 和 metric 框架上。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用户交易输入后，Supervisor 将跨分片 NormalTx 转换为 PaymentIntent，并发送到源分片。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源分片在普通区块共识过程中执行 intent 预留，写入 registry，并在区块 finalized 后向 Solver 发布 receipt。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Solver 根据 receipt 维护异步 Vector-Cut 窗口，满足 BatchSize 或 MaxWindowDuration 后冻结窗口。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Solver 对窗口内 intent 执行 exact → best-fit → split 撮合，生成 batch sidecar、settlement package 和 MatchRoot。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Beacon 节点验证 batch 可由 receipt 和 matcher mode 确定性派生，再通过 PBFT commit MatchRoot。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普通分片收到 MatchRootFinalized 和 SettlementPackage 后，本地验证 Merkle proof，执行 reserved balance 消耗和收款人入账。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未净额化的剩余金额进入 ReservedFallback 路径，继续走保留资金驱动的普通跨分片回退流程。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Supervisor 与 netting metric collector 收集 batch、intent、Beacon、execution 指标，供实验脚本汇总并画图。</w:t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分阶段实现路线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900"/>
        <w:gridCol w:w="3600"/>
        <w:gridCol w:w="3210"/>
      </w:tblGrid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主要文件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三阶段撮合算法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pkg/netting/matcher/*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exact、best-fit、split 的确定性双向净额撮合。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异步窗口与 Vector-Cut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pkg/netting/window/*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用 BatchSize 和 MaxWindowDuration 关闭窗口，并冻结各分片连续水位。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资金预留与 Escrow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pkg/netting/registry/*; pkg/chain/intent.go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在源分片验证 intent 后锁定 reserved balance，防止撮合期间重复花费。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源分片 receipt 发布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pkg/netting/receipt/*; txblockop/*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普通分片在区块确认后向 Solver 发布已预留 intent 的区块确认信息。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Solver 批处理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pkg/netting/solver/*; pkg/netting/batch/*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收集 receipt、关闭窗口、构造 MatchRoot 与 settlement sidecar。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Beacon Chain 批量确认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cmd/beaconnode/*; consensus/pbft/insideop/beaconop/*; pkg/netting/beacon/*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把大量 intent 的撮合结果压缩为一次 MatchRoot 共识确认。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分片内 settlement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pkg/netting/settlement/*; pkg/chain/settlement.go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各分片验证 MatchRoot/Merkle proof 后执行本地扣款和入账。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回退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pkg/netting/fallback/*; pkg/chain/fallback.go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未净额化金额释放为保留资金驱动的普通跨分片回退交易。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指标系统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pkg/netting/metrics/*; supervisor/measure/nettingstats/*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记录 batch、Beacon、intent 生命周期、锁定时间、证明验证时间等论文指标。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端到端运行脚本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example_run_netting.sh; config.netting-e2e.yaml; ip_table_netting.json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提供 4×4 本地复现实验入口。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论文实验与画图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scripts/netting_experiments/*; figures/netting/*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1–7 组实验、汇总 summary.csv，并输出科研风格 SVG 图。</w:t>
            </w:r>
          </w:p>
        </w:tc>
      </w:tr>
    </w:tbl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相对原始 BlockEmulator-X 的文件修改清单</w:t>
      </w:r>
    </w:p>
    <w:p>
      <w:pPr>
        <w:spacing w:after="90" w:before="60"/>
      </w:pPr>
      <w:r>
        <w:rPr>
          <w:rFonts w:ascii="Arial" w:cs="Arial" w:eastAsia="Arial" w:hAnsi="Arial"/>
          <w:sz w:val="22"/>
          <w:szCs w:val="22"/>
        </w:rPr>
        <w:t xml:space="preserve">下面按功能模块列出核心修改。测试文件没有逐一展开到每个 case，但在最后一行集中说明。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9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做了什么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配置与入口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config/config.go; config/config_consensus.go; config.yaml; config.netting-e2e.yaml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新增 netting 配置段：enabled、metrics_enabled、batch_size、max_window_duration_ms、solver_tick_interval_ms、matcher_mode、batch/beacon store path；新增异步实验用 shard_block_intervals_ms。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让同一个 BlockEmulator-X 仓库可以在原始 relay/broker 与 netting 机制之间切换，并支持参数扫描实验。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独立进程入口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cmd/solver/main.go; cmd/beaconnode/main.go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新增 Solver 进程和 Beacon 节点进程启动入口，读取配置、加载网络拓扑、初始化存储并启动事件循环。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把链下求解器与 Beacon 确认链显式建模，而不是塞进 supervisor 的统计逻辑里。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网络拓扑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pkg/nodetopo/topology.go; pkg/nodetopo/topogetter.go; ip_table_netting.json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扩展 topology，加入 Solver shard、Beacon shard、Supervisor 的路由解析。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让普通分片、Solver、Beacon、Supervisor 之间都能用原有 direct RPC 通信框架互相发送协议消息。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RPC 延迟注入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cmd/loadnetwork/loadnetwork.go; pkg/network/clientconnrpc/rpcconn.go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RPC 连接新增可配置 latency，非本地消息发送前按配置延迟。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支撑第 7 组异步/网络延迟实验，观察 Vector-Cut skew、fallback 比例和端到端延迟。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交易与 intent 类型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pkg/core/intent/intent.go; pkg/core/transaction/transaction.go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新增 PaymentIntent 数据结构，以及 IntentSubmit、Settlement、ReservedFallback、FallbackCompleted 等系统交易类型。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把用户跨分片支付从普通交易抽象为可预留、可撮合、可证明、可回退的 intent 生命周期。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链上预留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pkg/chain/intent.go; pkg/netting/registry/registry.go; pkg/chain/stateio.go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source shard 验证 intent、nonce、余额并写入 reservation registry；记录 matched/fallback/status/batch。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保证资金在撮合窗口内不能被重复使用，是方案安全性的链上根。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撮合算法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pkg/netting/matcher/matcher.go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exact-only、best-fit、full 三种模式；full 模式执行 exact → best-fit → split。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对应论文提出的实用撮合顺序，并为第 5 组消融实验提供开关。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Vector-Cut 窗口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pkg/netting/window/manager.go; pkg/netting/window/state.go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按 receipt 连续水位维护 open/frozen window；满足 BatchSize 或 MaxWindowDuration 即关闭窗口。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避免依赖全局区块高度，使异步分片网络也能稳定工作。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批次构造与 Merkle 证明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pkg/netting/batch/builder.go; pkg/netting/model/batch.go; pkg/netting/model/result.go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从 frozen window 构造 intent results、shard settlements、CutRoot、IntentResultRoot、ShardSettlementRoot、MatchRoot 和 BatchID；header 写入 MatcherMode。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让 Beacon 只共识 MatchRoot，同时各分片可以用 proof 独立验证自己要执行的 settlement。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Solver 状态机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pkg/netting/solver/node.go; pkg/netting/batchstore/store.go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Solver 收集 receipt、恢复窗口状态、构造 proposal、持久化 sidecar，并确保同一 pending batch 只提交一次。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实现链下撮合器的可恢复批处理逻辑，避免 Beacon 重复 proposal 造成序列错误。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Beacon 验证与共识接入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pkg/netting/beacon/validator.go; pkg/netting/beacon/store.go; consensus/pbft/insideop/beaconop/beaconop.go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Beacon 验证 batch sequence、Vector-Cut 覆盖、intent 未重复、未过期、以及按 MatcherMode 重新确定性派生结果；PBFT commit 后广播 MatchRootFinalized。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把大量跨片支付的一致性确认压缩成一次 Beacon 共识。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分片外部消息处理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consensus/pbft/outsideop/netting.go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普通分片处理 MatchRootFinalized、SettlementPackage、FallbackTx、FallbackCompleted 等跨角色消息。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让分片能在收到全局确认和 proof 后进入本地 settlement/fallback 执行。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普通区块执行接入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consensus/pbft/node.go; consensus/pbft/insideop/txblockop/relaytxblockop.go; consensus/pbft/insideop/txblockop/brokertxblockop.go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在 PBFT 节点构造时按 netting.enabled 包装 inside/outside op；出块后发布 receipt、fallback、execution metrics，并过滤 netting 系统交易对 legacy 统计的干扰。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在不破坏原始 static_relay/static_broker 的前提下挂接新协议。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Settlement 执行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pkg/netting/settlement/executor.go; pkg/netting/settlement/inbox.go; pkg/chain/settlement.go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维护 MatchRoot 确认和 settlement package inbox；验证 package proof，消耗 reserved balance，给本分片收款人入账，生成 fallback outbox。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把匹配成功的双向跨片支付转化为两个分片各自的本地清算。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执行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pkg/netting/fallback/outbox.go; pkg/netting/fallback/executor.go; pkg/netting/fallback/publisher.go; pkg/chain/fallback.go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为未净额化剩余金额生成 ReservedFallback，目标分片执行普通入账，源分片收到完成消息后标记 completion。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保证无法净额化的金额仍然可回退到原有跨分片完成路径。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消息协议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pkg/message/nettingmsg.go; pkg/message/message.go; pkg/message/pbftmsg.go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新增 FinalizedBlockReceipt、BatchProposal、MatchRootFinalized、SettlementPackage、FallbackTx、FallbackCompleted、NettingMetric、NettingProgress 等消息和 PBFT proposal 包装。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让 netting 的链上/链下角色复用原有 WrappedMsg 与 PBFT 消息通道。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Supervisor workload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supervisor/committee/netting.go; supervisor/committee/staticrelay.go; supervisor/committee/staticbroker.go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Supervisor 将跨分片 NormalTx 转为 PaymentIntent，并通过 progress、fallback completion、execution metric 判断 netting 工作是否完成。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让实验可以用原始数据集驱动 netting 机制，并让 supervisor 正确终止。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指标收集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pkg/netting/metrics/publisher.go; supervisor/measure/router.go; supervisor/measure/nettingstats/nettingstats.go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将 batch、Beacon、execution 三类指标路由到 netting collector；输出 netting_batch_metrics.csv 与 netting_intent_metrics.csv。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支撑论文实验中的吞吐、延迟、matched/fallback ratio、Beacon overhead、proof time、capital lock time 等指标。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实验与画图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scripts/netting_experiments/run_experiments.py; scripts/netting_experiments/plot_experiments.py; docs/netting-experiments.md; figures/netting/*.svg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baseline、净额化收益、BatchSize、MaxWindowDuration、算法消融、系统规模、异步/网络延迟 7 组实验，并生成论文风格矢量图。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让论文实验从运行、汇总到可视化形成可重复流水线。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测试文件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pkg/netting/**/*_test.go; pkg/chain/*_test.go; supervisor/**/*_test.go; consensus/**/*_test.go; pkg/message/*_test.go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为 matcher、window、batch、Beacon、Solver、settlement、fallback、metrics、supervisor 路由等模块增加单元/端到端测试。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降低大改动引入隐蔽状态机错误的风险。</w:t>
            </w:r>
          </w:p>
        </w:tc>
      </w:tr>
    </w:tbl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7 组论文实验代码与图</w:t>
      </w:r>
    </w:p>
    <w:p>
      <w:pPr>
        <w:spacing w:after="90" w:before="60"/>
      </w:pPr>
      <w:r>
        <w:rPr>
          <w:rFonts w:ascii="Arial" w:cs="Arial" w:eastAsia="Arial" w:hAnsi="Arial"/>
          <w:sz w:val="22"/>
          <w:szCs w:val="22"/>
        </w:rPr>
        <w:t xml:space="preserve">实验运行脚本为 scripts/netting_experiments/run_experiments.py，画图脚本为 scripts/netting_experiments/plot_experiments.py。plot 脚本输出 figures/netting/*.svg，采用矢量 SVG、论文风格字体、色盲友好配色和简洁网格。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500"/>
        <w:gridCol w:w="29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自变量/方法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论文中回答的问题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Baseline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static_relay、static_broker、netting_static_relay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throughput、latency、cross_messages_per_tx、Beacon/confirmation 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展示你的机制是否减少逐笔跨片消息和目标分片处理。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Netting benefit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reverse_ratio = 0%,25%,50%,75%,100%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matched_value_ratio、fallback_value_ratio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证明双向流量越强，净额化收益越高。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BatchSize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10,20,50,100,200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throughput、beacon_bytes_per_intent、capital_lock_s、avg_latency_s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展示批量摊销收益与等待/锁资成本的权衡。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MaxWindowDuration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100ms,500ms,1s,2s,5s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matched_value_ratio、avg_latency_s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展示撮合窗口越长，撮合率和端到端延迟之间的 trade-off。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Matcher ablation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exact_only、best_fit、full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matched/fallback ratio、split_allocations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证明三阶段策略相对于简单 exact-only 的价值。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Scale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shard_num = 4,8,16; node_num =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throughput、beacon overhead、match_time_ms、proof_time_ms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展示系统规模扩展时 Solver/Beacon/分片验证开销。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Async/network latency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network_latency_ms sweep + heterogeneous shard block intervals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avg_latency_s、watermark_skew、fallback_value_ratio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验证异步窗口规则在无全局高度条件下仍稳定。</w:t>
            </w:r>
          </w:p>
        </w:tc>
      </w:tr>
    </w:tbl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验证记录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验证项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命令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结果/说明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build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GOCACHE=$PWD/.exp/gocache go build ./...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通过。沙箱内默认 Go cache 不可写，使用仓库内 GOCACHE。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tests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GOCACHE=$PWD/.exp/gocache go test -gcflags=all='-N -l' ./...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通过，覆盖 chain、PBFT、netting、supervisor、network 等包。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syntax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PYTHONPYCACHEPREFIX=$PWD/.exp/pycache python3 -m py_compile scripts/netting_experiments/*.py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通过。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Experiment smoke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scripts/netting_experiments/run_experiments.py --profile smoke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第 5 组消融 smoke 已实际跑通；完整 1–7 组真实多进程 smoke 曾因 Codex 使用额度/外部进程限制中断，脚本已可由本地终端继续运行。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Plot guard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python3 scripts/netting_experiments/plot_experiments.py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默认要求 summary.csv 包含 1–7 组，避免不完整数据生成论文图；调试可用 --allow-missing。</w:t>
            </w:r>
          </w:p>
        </w:tc>
      </w:tr>
    </w:tbl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推荐代码阅读顺序</w:t>
      </w:r>
    </w:p>
    <w:p>
      <w:pPr>
        <w:spacing w:after="90" w:before="60"/>
      </w:pPr>
      <w:r>
        <w:rPr>
          <w:rFonts w:ascii="Arial" w:cs="Arial" w:eastAsia="Arial" w:hAnsi="Arial"/>
          <w:sz w:val="22"/>
          <w:szCs w:val="22"/>
        </w:rPr>
        <w:t xml:space="preserve">建议不要从 PBFT 主循环直接硬啃。更顺的方式是先读协议数据结构，再读源分片、Solver、Beacon、分片执行和实验脚本。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900"/>
        <w:gridCol w:w="3900"/>
        <w:gridCol w:w="2910"/>
      </w:tblGrid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顺序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阅读目标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读懂什么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先看总览文档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docs/netting-implementation-report.md; docs/netting-e2e.md; docs/netting-metrics.md; docs/netting-experiments.md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先建立概念地图，知道协议角色、指标边界和实验入口。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看配置如何打开 netting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config/config.go; config/config_consensus.go; config.netting-e2e.yaml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 enabled、batch_size、MaxWindowDuration、matcher_mode、store path 等实验开关。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看数据结构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pkg/core/intent/intent.go; pkg/core/transaction/transaction.go; pkg/message/nettingmsg.go; pkg/netting/model/*.go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先认识 PaymentIntent、IntentResult、MatchRootBlockBody、SettlementPackage、FallbackKey 等核心对象。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看源分片预留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pkg/chain/intent.go; pkg/netting/registry/registry.go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 source shard 如何验证余额/nonce、写入 reserved 状态。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 receipt 和窗口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pkg/netting/receipt/receipt.go; pkg/netting/window/manager.go; pkg/netting/window/state.go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理解为什么异步网络不用全局高度，而用各分片连续水位冻结 Vector-Cut。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看撮合算法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pkg/netting/matcher/matcher.go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按 exact-only → best-fit → split 的顺序读，这是论文算法贡献的核心。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 batch 构造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pkg/netting/batch/builder.go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理解如何从 frozen window 生成 intent result、分片 settlement 和三层 Merkle commitment。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 Solver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pkg/netting/solver/node.go; pkg/netting/batchstore/store.go; cmd/solver/main.go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理解链下求解器如何收集、关窗、构造批次、提交 Beacon，并避免重复 proposal。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 Beacon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pkg/netting/beacon/validator.go; pkg/netting/beacon/store.go; consensus/pbft/insideop/beaconop/beaconop.go; cmd/beaconnode/main.go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 MatchRoot 如何被全局确认，以及 Beacon 如何重新派生结果做确定性验证。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 settlement/fallback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pkg/netting/settlement/*.go; pkg/chain/settlement.go; pkg/netting/fallback/*.go; pkg/chain/fallback.go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 confirmed MatchRoot 后各分片如何本地清算，剩余金额如何进入回退路径。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 PBFT 接线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consensus/pbft/node.go; consensus/pbft/outsideop/netting.go; consensus/pbft/insideop/txblockop/*.go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 netting 如何嵌入原始 BlockEmulator-X 的单线程 PBFT 出块流程。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看 supervisor 和指标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supervisor/committee/netting.go; supervisor/measure/router.go; supervisor/measure/nettingstats/nettingstats.go; pkg/netting/metrics/publisher.go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理解实验输入如何从 CSV 转 intent，结果如何输出为论文指标。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最后看实验脚本和图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scripts/netting_experiments/run_experiments.py; scripts/netting_experiments/plot_experiments.py; figures/netting/*.svg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理解 7 组实验如何配置、运行、汇总和画图。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用测试反向理解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pkg/netting/matcher/matcher_test.go; pkg/netting/window/manager_test.go; pkg/chain/netting_e2e_test.go; consensus/pbft/insideop/beaconop/beaconop_test.go; supervisor/measure/nettingstats/nettingstats_test.go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测试通常比实现更短，适合确认每个模块的输入输出语义。</w:t>
            </w:r>
          </w:p>
        </w:tc>
      </w:tr>
    </w:tbl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进一步写论文时可强调的实现边界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当前实现先不考虑用户签名和拜占庭求解器安全实验；PaymentIntent 的签名字段和恶意 Solver 检测可作为后续安全性实验扩展。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当前窗口关闭规则保留 BatchSize 与 MaxWindowDuration，不依赖全局区块高度；Vector-Cut 由各分片连续 finalized receipt 冻结，因此可用于异步分片网络。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第 2–7 组实验主要使用受控 synthetic workload，以隔离变量；第 1 组 baseline 使用 selectedTxs_300K.csv 的真实 trace 切片。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cross_messages_per_tx 是协议级估算，排除了 TCP/IP、gRPC、protobuf framing；Beacon bytes 和 proof time 来自 netting metrics 路径。</w:t>
      </w:r>
    </w:p>
    <w:sectPr>
      <w:footerReference w:type="default" r:id="rId7"/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20"/>
      <w:outlineLvl w:val="1"/>
    </w:pPr>
    <w:rPr>
      <w:rFonts w:ascii="Arial" w:cs="Arial" w:eastAsia="Arial" w:hAnsi="Arial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2026-09-07T12:51:01.093Z</dcterms:created>
  <dcterms:modified xsi:type="dcterms:W3CDTF">2026-09-07T12:51:01.096Z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