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1EFF0">
      <w:pPr>
        <w:spacing w:before="200" w:after="140"/>
        <w:jc w:val="center"/>
      </w:pPr>
      <w:r>
        <w:rPr>
          <w:rFonts w:ascii="Arial" w:hAnsi="Arial" w:eastAsia="Arial" w:cs="Arial"/>
          <w:b/>
          <w:bCs/>
          <w:sz w:val="36"/>
          <w:szCs w:val="36"/>
        </w:rPr>
        <w:t>BlockEmulator-X Netting 论文实现实验文档</w:t>
      </w:r>
    </w:p>
    <w:p w14:paraId="49EC7301">
      <w:pPr>
        <w:spacing w:before="60" w:after="90"/>
        <w:jc w:val="center"/>
      </w:pPr>
      <w:r>
        <w:rPr>
          <w:rFonts w:ascii="Arial" w:hAnsi="Arial" w:eastAsia="Arial" w:cs="Arial"/>
          <w:sz w:val="22"/>
          <w:szCs w:val="22"/>
        </w:rPr>
        <w:t>支付意图、资金预留、批量撮合、Beacon MatchRoot 与分片内清算实现说明</w:t>
      </w:r>
    </w:p>
    <w:p w14:paraId="21C3E0A3">
      <w:pPr>
        <w:spacing w:before="60" w:after="90"/>
        <w:jc w:val="center"/>
      </w:pPr>
      <w:r>
        <w:rPr>
          <w:rFonts w:ascii="Arial" w:hAnsi="Arial" w:eastAsia="Arial" w:cs="Arial"/>
          <w:sz w:val="18"/>
          <w:szCs w:val="18"/>
        </w:rPr>
        <w:t>生成日期：2026-09-07；仓库：/Users/ljn/Desktop/Newidea2026July/block-emulator-x-netting-dev</w:t>
      </w:r>
    </w:p>
    <w:p w14:paraId="0B039219">
      <w:pPr>
        <w:pStyle w:val="2"/>
        <w:spacing w:before="300" w:after="130"/>
      </w:pPr>
      <w:r>
        <w:rPr>
          <w:rFonts w:ascii="Arial" w:hAnsi="Arial" w:eastAsia="Arial" w:cs="Arial"/>
          <w:b/>
          <w:bCs/>
          <w:sz w:val="32"/>
          <w:szCs w:val="32"/>
        </w:rPr>
        <w:t>1. 实现总览</w:t>
      </w:r>
    </w:p>
    <w:p w14:paraId="5DDF13B4">
      <w:pPr>
        <w:spacing w:before="60" w:after="90"/>
      </w:pPr>
      <w:r>
        <w:rPr>
          <w:rFonts w:ascii="Arial" w:hAnsi="Arial" w:eastAsia="Arial" w:cs="Arial"/>
          <w:sz w:val="22"/>
          <w:szCs w:val="22"/>
        </w:rPr>
        <w:t>本文档记录在 BlockEmulator-X 上实现“基于支付意图、资金预留、链下批量撮合、Beacon MatchRoot 确认、分片内并行清算与 fallback”的论文 idea 时，对原始代码所做的主要修改。</w:t>
      </w:r>
    </w:p>
    <w:p w14:paraId="5F32997D">
      <w:pPr>
        <w:spacing w:before="60" w:after="90"/>
      </w:pPr>
      <w:r>
        <w:rPr>
          <w:rFonts w:ascii="Arial" w:hAnsi="Arial" w:eastAsia="Arial" w:cs="Arial"/>
          <w:sz w:val="22"/>
          <w:szCs w:val="22"/>
        </w:rPr>
        <w:t>对比基线为原始仓库在 netting 分支开始前的提交 a5635e7；当前实现提交为 9f9751a，分支为 feat/block-netting。总体差异约为 97 个文件，新增约 11800 行，删除约 69 行。</w:t>
      </w:r>
    </w:p>
    <w:p w14:paraId="2B0326CD">
      <w:pPr>
        <w:spacing w:before="60" w:after="90"/>
      </w:pPr>
      <w:r>
        <w:rPr>
          <w:rFonts w:ascii="Arial" w:hAnsi="Arial" w:eastAsia="Arial" w:cs="Arial"/>
          <w:sz w:val="22"/>
          <w:szCs w:val="22"/>
        </w:rPr>
        <w:t>实现原则是尽量不破坏 BlockEmulator-X 原有 static_relay / static_broker 路径，而是在 config.netting.enabled 打开时把 netting 作为一条可选协议路径挂到原有 PBFT、txblockop、supervisor 和 metric 框架上。</w:t>
      </w:r>
    </w:p>
    <w:p w14:paraId="6CCED863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用户交易输入后，Supervisor 将跨分片 NormalTx 转换为 PaymentIntent，并发送到源分片。</w:t>
      </w:r>
    </w:p>
    <w:p w14:paraId="34D95563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源分片在普通区块共识过程中执行 intent 预留，写入 registry，并在区块 finalized 后向 Solver 发布 receipt。</w:t>
      </w:r>
    </w:p>
    <w:p w14:paraId="71B97333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Solver 根据 receipt 维护异步 Vector-Cut 窗口，满足 BatchSize 或 MaxWindowDuration 后冻结窗口。</w:t>
      </w:r>
    </w:p>
    <w:p w14:paraId="62263B3F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Solver 对窗口内 intent 执行 exact → best-fit → split 撮合，生成 batch sidecar、settlement package 和 MatchRoot。</w:t>
      </w:r>
    </w:p>
    <w:p w14:paraId="6995E1DC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Beacon 节点验证 batch 可由 receipt 和 matcher mode 确定性派生，再通过 PBFT commit MatchRoot。</w:t>
      </w:r>
    </w:p>
    <w:p w14:paraId="63C3E3B3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普通分片收到 MatchRootFinalized 和 SettlementPackage 后，本地验证 Merkle proof，执行 reserved balance 消耗和收款人入账。</w:t>
      </w:r>
    </w:p>
    <w:p w14:paraId="5E218E45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未净额化的剩余金额进入 ReservedFallback 路径，继续走保留资金驱动的普通跨分片回退流程。</w:t>
      </w:r>
    </w:p>
    <w:p w14:paraId="7C94CBFB">
      <w:pPr>
        <w:pStyle w:val="16"/>
        <w:numPr>
          <w:ilvl w:val="0"/>
          <w:numId w:val="1"/>
        </w:numPr>
        <w:spacing w:after="70"/>
      </w:pPr>
      <w:r>
        <w:rPr>
          <w:rFonts w:ascii="Arial" w:hAnsi="Arial" w:eastAsia="Arial" w:cs="Arial"/>
          <w:sz w:val="21"/>
          <w:szCs w:val="21"/>
        </w:rPr>
        <w:t>Supervisor 与 netting metric collector 收集 batch、intent、Beacon、execution 指标，供实验脚本汇总并画图。</w:t>
      </w:r>
    </w:p>
    <w:p w14:paraId="1AE5FA21">
      <w:pPr>
        <w:pStyle w:val="2"/>
        <w:spacing w:before="300" w:after="130"/>
      </w:pPr>
      <w:r>
        <w:rPr>
          <w:rFonts w:ascii="Arial" w:hAnsi="Arial" w:eastAsia="Arial" w:cs="Arial"/>
          <w:b/>
          <w:bCs/>
          <w:sz w:val="32"/>
          <w:szCs w:val="32"/>
        </w:rPr>
        <w:t>2. 分阶段实现路线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50"/>
        <w:gridCol w:w="1900"/>
        <w:gridCol w:w="3600"/>
        <w:gridCol w:w="3210"/>
      </w:tblGrid>
      <w:tr w14:paraId="5F4D0AAD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9158CB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3656D2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主题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EF0B2A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主要文件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3E916E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作用</w:t>
            </w:r>
          </w:p>
        </w:tc>
      </w:tr>
      <w:tr w14:paraId="66E8B1FD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43D9D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EE68A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三阶段撮合算法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5EBD8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pkg/netting/matcher/*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B4970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实现 exact、best-fit、split 的确定性双向净额撮合。</w:t>
            </w:r>
          </w:p>
        </w:tc>
      </w:tr>
      <w:tr w14:paraId="64851DCF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6154F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368D7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异步窗口与 Vector-Cut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D5032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pkg/netting/window/*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796D9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用 BatchSize 和 MaxWindowDuration 关闭窗口，并冻结各分片连续水位。</w:t>
            </w:r>
          </w:p>
        </w:tc>
      </w:tr>
      <w:tr w14:paraId="604FA27B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6486D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07093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资金预留与 Escrow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3C619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pkg/netting/registry/*; pkg/chain/intent.go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61FCE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在源分片验证 intent 后锁定 reserved balance，防止撮合期间重复花费。</w:t>
            </w:r>
          </w:p>
        </w:tc>
      </w:tr>
      <w:tr w14:paraId="05C488BC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8B5F4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834DC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源分片 receipt 发布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005D7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pkg/netting/receipt/*; txblockop/*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6B79A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普通分片在区块确认后向 Solver 发布已预留 intent 的区块确认信息。</w:t>
            </w:r>
          </w:p>
        </w:tc>
      </w:tr>
      <w:tr w14:paraId="6F0DA61D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618AD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6B1B8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Solver 批处理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30258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pkg/netting/solver/*; pkg/netting/batch/*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EAF5F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收集 receipt、关闭窗口、构造 MatchRoot 与 settlement sidecar。</w:t>
            </w:r>
          </w:p>
        </w:tc>
      </w:tr>
      <w:tr w14:paraId="2EC0EC02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3691C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D4306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Beacon Chain 批量确认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C63DF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cmd/beaconnode/*; consensus/pbft/insideop/beaconop/*; pkg/netting/beacon/*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792E5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把大量 intent 的撮合结果压缩为一次 MatchRoot 共识确认。</w:t>
            </w:r>
          </w:p>
        </w:tc>
      </w:tr>
      <w:tr w14:paraId="0A885FD9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89CDC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3D23C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分片内 settlement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4B6DD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pkg/netting/settlement/*; pkg/chain/settlement.go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2A7AE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各分片验证 MatchRoot/Merkle proof 后执行本地扣款和入账。</w:t>
            </w:r>
          </w:p>
        </w:tc>
      </w:tr>
      <w:tr w14:paraId="22832558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78BA2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EF17A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Fallback 回退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89055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pkg/netting/fallback/*; pkg/chain/fallback.go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A9255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未净额化金额释放为保留资金驱动的普通跨分片回退交易。</w:t>
            </w:r>
          </w:p>
        </w:tc>
      </w:tr>
      <w:tr w14:paraId="3535EA51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B81A5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186B7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指标系统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FC3C7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pkg/netting/metrics/*; supervisor/measure/nettingstats/*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7CDCF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记录 batch、Beacon、intent 生命周期、锁定时间、证明验证时间等论文指标。</w:t>
            </w:r>
          </w:p>
        </w:tc>
      </w:tr>
      <w:tr w14:paraId="7AA5EEF3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D5D4B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9CE47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端到端运行脚本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131BE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example_run_netting.sh; config.netting-e2e.yaml; ip_table_netting.json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0B61F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提供 4×4 本地复现实验入口。</w:t>
            </w:r>
          </w:p>
        </w:tc>
      </w:tr>
      <w:tr w14:paraId="073038F7">
        <w:tc>
          <w:tcPr>
            <w:tcW w:w="6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9A3BD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11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F1542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论文实验与画图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7BC50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scripts/netting_experiments/*; figures/netting/*</w:t>
            </w:r>
          </w:p>
        </w:tc>
        <w:tc>
          <w:tcPr>
            <w:tcW w:w="321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090EE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实现 1–7 组实验、汇总 summary.csv，并输出科研风格 SVG 图。</w:t>
            </w:r>
          </w:p>
        </w:tc>
      </w:tr>
    </w:tbl>
    <w:p w14:paraId="7BFD4D08">
      <w:pPr>
        <w:pStyle w:val="2"/>
        <w:spacing w:before="300" w:after="130"/>
      </w:pPr>
      <w:r>
        <w:rPr>
          <w:rFonts w:ascii="Arial" w:hAnsi="Arial" w:eastAsia="Arial" w:cs="Arial"/>
          <w:b/>
          <w:bCs/>
          <w:sz w:val="32"/>
          <w:szCs w:val="32"/>
        </w:rPr>
        <w:t>3. 相对原始 BlockEmulator-X 的文件修改清单</w:t>
      </w:r>
    </w:p>
    <w:p w14:paraId="5BE04A30">
      <w:pPr>
        <w:spacing w:before="60" w:after="90"/>
      </w:pPr>
      <w:r>
        <w:rPr>
          <w:rFonts w:ascii="Arial" w:hAnsi="Arial" w:eastAsia="Arial" w:cs="Arial"/>
          <w:sz w:val="22"/>
          <w:szCs w:val="22"/>
        </w:rPr>
        <w:t>下面按功能模块列出核心修改。测试文件没有逐一展开到每个 case，但在最后一行集中说明。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81"/>
        <w:gridCol w:w="4533"/>
        <w:gridCol w:w="2772"/>
        <w:gridCol w:w="2211"/>
      </w:tblGrid>
      <w:tr w14:paraId="6D685170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9E751C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DB1154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涉及文件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4209A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做了什么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BEA6CA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目的</w:t>
            </w:r>
          </w:p>
        </w:tc>
      </w:tr>
      <w:tr w14:paraId="0F352506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CAE22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配置与入口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68EA6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config/config.go; config/config_consensus.go; config.yaml; config.netting-e2e.yaml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48185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新增 netting 配置段：enabled、metrics_enabled、batch_size、max_window_duration_ms、solver_tick_interval_ms、matcher_mode、batch/beacon store path；新增异步实验用 shard_block_intervals_ms。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DD68E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让同一个 BlockEmulator-X 仓库可以在原始 relay/broker 与 netting 机制之间切换，并支持参数扫描实验。</w:t>
            </w:r>
          </w:p>
        </w:tc>
      </w:tr>
      <w:tr w14:paraId="225DFB74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72CCF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独立进程入口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12746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cmd/solver/main.go; cmd/beaconnode/main.go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E2839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新增 Solver 进程和 Beacon 节点进程启动入口，读取配置、加载网络拓扑、初始化存储并启动事件循环。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3645C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把链下求解器与 Beacon 确认链显式建模，而不是塞进 supervisor 的统计逻辑里。</w:t>
            </w:r>
          </w:p>
        </w:tc>
      </w:tr>
      <w:tr w14:paraId="5DF7C0BB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3AE0C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网络拓扑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8030F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pkg/nodetopo/topology.go; pkg/nodetopo/topogetter.go; ip_table_netting.json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4ADEA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扩展 topology，加入 Solver shard、Beacon shard、Supervisor 的路由解析。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47EC1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让普通分片、Solver、Beacon、Supervisor 之间都能用原有 direct RPC 通信框架互相发送协议消息。</w:t>
            </w:r>
          </w:p>
        </w:tc>
      </w:tr>
      <w:tr w14:paraId="415B9CC3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560D9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RPC 延迟注入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A59F0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cmd/loadnetwork/loadnetwork.go; pkg/network/clientconnrpc/rpcconn.go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EA7B1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direct RPC 连接新增可配置 latency，非本地消息发送前按配置延迟。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486DB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支撑第 7 组异步/网络延迟实验，观察 Vector-Cut skew、fallback 比例和端到端延迟。</w:t>
            </w:r>
          </w:p>
        </w:tc>
      </w:tr>
      <w:tr w14:paraId="5DB6C840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4D245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交易与 intent 类型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FC9DA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pkg/core/intent/intent.go; pkg/core/transaction/transaction.go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D7C69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新增 PaymentIntent 数据结构，以及 IntentSubmit、Settlement、ReservedFallback、FallbackCompleted 等系统交易类型。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28EAF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把用户跨分片支付从普通交易抽象为可预留、可撮合、可证明、可回退的 intent 生命周期。</w:t>
            </w:r>
          </w:p>
        </w:tc>
      </w:tr>
      <w:tr w14:paraId="258F5053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AC766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链上预留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700D7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pkg/chain/intent.go; pkg/netting/registry/registry.go; pkg/chain/stateio.go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E0DD2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实现 source shard 验证 intent、nonce、余额并写入 reservation registry；记录 matched/fallback/status/batch。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0E9BE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保证资金在撮合窗口内不能被重复使用，是方案安全性的链上根。</w:t>
            </w:r>
          </w:p>
        </w:tc>
      </w:tr>
      <w:tr w14:paraId="4DF5D91D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A5E3B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撮合算法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AE95B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pkg/netting/matcher/matcher.go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E8C98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实现 exact-only、best-fit、full 三种模式；full 模式执行 exact → best-fit → split。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DBCB8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对应论文提出的实用撮合顺序，并为第 5 组消融实验提供开关。</w:t>
            </w:r>
          </w:p>
        </w:tc>
      </w:tr>
      <w:tr w14:paraId="37A4D762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DCA33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Vector-Cut 窗口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F6960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pkg/netting/window/manager.go; pkg/netting/window/state.go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5CEC3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按 receipt 连续水位维护 open/frozen window；满足 BatchSize 或 MaxWindowDuration 即关闭窗口。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27985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避免依赖全局区块高度，使异步分片网络也能稳定工作。</w:t>
            </w:r>
          </w:p>
        </w:tc>
      </w:tr>
      <w:tr w14:paraId="0EF2F4A1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58EBF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批次构造与 Merkle 证明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CD23A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pkg/netting/batch/builder.go; pkg/netting/model/batch.go; pkg/netting/model/result.go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5DE6C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从 frozen window 构造 intent results、shard settlements、CutRoot、IntentResultRoot、ShardSettlementRoot、MatchRoot 和 BatchID；header 写入 MatcherMode。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FC936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让 Beacon 只共识 MatchRoot，同时各分片可以用 proof 独立验证自己要执行的 settlement。</w:t>
            </w:r>
          </w:p>
        </w:tc>
      </w:tr>
      <w:tr w14:paraId="0971A831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89F2D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Solver 状态机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EE9A9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pkg/netting/solver/node.go; pkg/netting/batchstore/store.go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ABCF6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Solver 收集 receipt、恢复窗口状态、构造 proposal、持久化 sidecar，并确保同一 pending batch 只提交一次。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C59B2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实现链下撮合器的可恢复批处理逻辑，避免 Beacon 重复 proposal 造成序列错误。</w:t>
            </w:r>
          </w:p>
        </w:tc>
      </w:tr>
      <w:tr w14:paraId="706EA22D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A62E7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Beacon 验证与共识接入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DBC0D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pkg/netting/beacon/validator.go; pkg/netting/beacon/store.go; consensus/pbft/insideop/beaconop/beaconop.go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9A53A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Beacon 验证 batch sequence、Vector-Cut 覆盖、intent 未重复、未过期、以及按 MatcherMode 重新确定性派生结果；PBFT commit 后广播 MatchRootFinalized。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38F93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把大量跨片支付的一致性确认压缩成一次 Beacon 共识。</w:t>
            </w:r>
          </w:p>
        </w:tc>
      </w:tr>
      <w:tr w14:paraId="0FC8ED04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175C6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分片外部消息处理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DE292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consensus/pbft/outsideop/netting.go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5D7B6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普通分片处理 MatchRootFinalized、SettlementPackage、FallbackTx、FallbackCompleted 等跨角色消息。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BA7DC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让分片能在收到全局确认和 proof 后进入本地 settlement/fallback 执行。</w:t>
            </w:r>
          </w:p>
        </w:tc>
      </w:tr>
      <w:tr w14:paraId="2406F58C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2C498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普通区块执行接入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8A734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consensus/pbft/node.go; consensus/pbft/insideop/txblockop/relaytxblockop.go; consensus/pbft/insideop/txblockop/brokertxblockop.go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93FF3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在 PBFT 节点构造时按 netting.enabled 包装 inside/outside op；出块后发布 receipt、fallback、execution metrics，并过滤 netting 系统交易对 legacy 统计的干扰。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35546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在不破坏原始 static_relay/static_broker 的前提下挂接新协议。</w:t>
            </w:r>
          </w:p>
        </w:tc>
      </w:tr>
      <w:tr w14:paraId="7C6ECB60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CEA05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Settlement 执行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9EBC9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pkg/netting/settlement/executor.go; pkg/netting/settlement/inbox.go; pkg/chain/settlement.go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EA13E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维护 MatchRoot 确认和 settlement package inbox；验证 package proof，消耗 reserved balance，给本分片收款人入账，生成 fallback outbox。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895AF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把匹配成功的双向跨片支付转化为两个分片各自的本地清算。</w:t>
            </w:r>
          </w:p>
        </w:tc>
      </w:tr>
      <w:tr w14:paraId="76C01D62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FFD59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Fallback 执行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C8786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pkg/netting/fallback/outbox.go; pkg/netting/fallback/executor.go; pkg/netting/fallback/publisher.go; pkg/chain/fallback.go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BC788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为未净额化剩余金额生成 ReservedFallback，目标分片执行普通入账，源分片收到完成消息后标记 completion。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58F36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保证无法净额化的金额仍然可回退到原有跨分片完成路径。</w:t>
            </w:r>
          </w:p>
        </w:tc>
      </w:tr>
      <w:tr w14:paraId="7ED65233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DEC5B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消息协议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71308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pkg/message/nettingmsg.go; pkg/message/message.go; pkg/message/pbftmsg.go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EDF53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新增 FinalizedBlockReceipt、BatchProposal、MatchRootFinalized、SettlementPackage、FallbackTx、FallbackCompleted、NettingMetric、NettingProgress 等消息和 PBFT proposal 包装。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D5602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让 netting 的链上/链下角色复用原有 WrappedMsg 与 PBFT 消息通道。</w:t>
            </w:r>
          </w:p>
        </w:tc>
      </w:tr>
      <w:tr w14:paraId="14AB60E6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5371C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Supervisor workload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F2019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supervisor/committee/netting.go; supervisor/committee/staticrelay.go; supervisor/committee/staticbroker.go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BA5BF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Supervisor 将跨分片 NormalTx 转为 PaymentIntent，并通过 progress、fallback completion、execution metric 判断 netting 工作是否完成。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9692D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让实验可以用原始数据集驱动 netting 机制，并让 supervisor 正确终止。</w:t>
            </w:r>
          </w:p>
        </w:tc>
      </w:tr>
      <w:tr w14:paraId="01DDBE8E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50846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指标收集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660AE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pkg/netting/metrics/publisher.go; supervisor/measure/router.go; supervisor/measure/nettingstats/nettingstats.go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C3E18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将 batch、Beacon、execution 三类指标路由到 netting collector；输出 netting_batch_metrics.csv 与 netting_intent_metrics.csv。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F8906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支撑论文实验中的吞吐、延迟、matched/fallback ratio、Beacon overhead、proof time、capital lock time 等指标。</w:t>
            </w:r>
          </w:p>
        </w:tc>
      </w:tr>
      <w:tr w14:paraId="6C81BD25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3385D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实验与画图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FE5EC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scripts/netting_experiments/run_experiments.py; scripts/netting_experiments/plot_experiments.py; docs/netting-experiments.md; figures/netting/*.svg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80AEE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实现 baseline、净额化收益、BatchSize、MaxWindowDuration、算法消融、系统规模、异步/网络延迟 7 组实验，并生成论文风格矢量图。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412FE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让论文实验从运行、汇总到可视化形成可重复流水线。</w:t>
            </w:r>
          </w:p>
        </w:tc>
      </w:tr>
      <w:tr w14:paraId="584AFFD9"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5BD36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测试文件</w:t>
            </w:r>
          </w:p>
        </w:tc>
        <w:tc>
          <w:tcPr>
            <w:tcW w:w="2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BD97D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pkg/netting/**/*_test.go; pkg/chain/*_test.go; supervisor/**/*_test.go; consensus/**/*_test.go; pkg/message/*_test.go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F6944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为 matcher、window、batch、Beacon、Solver、settlement、fallback、metrics、supervisor 路由等模块增加单元/端到端测试。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5F05A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降低大改动引入隐蔽状态机错误的风险。</w:t>
            </w:r>
          </w:p>
        </w:tc>
      </w:tr>
    </w:tbl>
    <w:p w14:paraId="5160CBE7">
      <w:pPr>
        <w:pStyle w:val="2"/>
        <w:spacing w:before="300" w:after="130"/>
      </w:pPr>
      <w:r>
        <w:rPr>
          <w:rFonts w:ascii="Arial" w:hAnsi="Arial" w:eastAsia="Arial" w:cs="Arial"/>
          <w:b/>
          <w:bCs/>
          <w:sz w:val="32"/>
          <w:szCs w:val="32"/>
        </w:rPr>
        <w:t>4. 7 组论文实验代码与图</w:t>
      </w:r>
    </w:p>
    <w:p w14:paraId="76361AFA">
      <w:pPr>
        <w:spacing w:before="60" w:after="90"/>
      </w:pPr>
      <w:r>
        <w:rPr>
          <w:rFonts w:ascii="Arial" w:hAnsi="Arial" w:eastAsia="Arial" w:cs="Arial"/>
          <w:sz w:val="22"/>
          <w:szCs w:val="22"/>
        </w:rPr>
        <w:t>实验运行脚本为 scripts/netting_experiments/run_experiments.py，画图脚本为 scripts/netting_experiments/plot_experiments.py。plot 脚本输出 figures/netting/*.svg，采用矢量 SVG、论文风格字体、色盲友好配色和简洁网格。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1"/>
        <w:gridCol w:w="2489"/>
        <w:gridCol w:w="2477"/>
        <w:gridCol w:w="2513"/>
      </w:tblGrid>
      <w:tr w14:paraId="729CC454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10A6A7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实验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9C560B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自变量/方法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68CFF1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1736C3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论文中回答的问题</w:t>
            </w:r>
          </w:p>
        </w:tc>
      </w:tr>
      <w:tr w14:paraId="20B56719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621A3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 Baseline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EECAF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static_relay、static_broker、netting_static_relay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F2559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throughput、latency、cross_messages_per_tx、Beacon/confirmation cost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E1EDB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展示你的机制是否减少逐笔跨片消息和目标分片处理。</w:t>
            </w:r>
          </w:p>
        </w:tc>
      </w:tr>
      <w:tr w14:paraId="0B13F7DF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42FFE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2 Netting benefit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11FF1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reverse_ratio = 0%,25%,50%,75%,100%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DBB7A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matched_value_ratio、fallback_value_ratio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6310C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证明双向流量越强，净额化收益越高。</w:t>
            </w:r>
          </w:p>
        </w:tc>
      </w:tr>
      <w:tr w14:paraId="54C28CCD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A1DAF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3 BatchSize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E07C3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10,20,50,100,200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E1A10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throughput、beacon_bytes_per_intent、capital_lock_s、avg_latency_s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5D72C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展示批量摊销收益与等待/锁资成本的权衡。</w:t>
            </w:r>
          </w:p>
        </w:tc>
      </w:tr>
      <w:tr w14:paraId="61FBC810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ADEAE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4 MaxWindowDuration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534D7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100ms,500ms,1s,2s,5s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EE690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matched_value_ratio、avg_latency_s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E67AB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展示撮合窗口越长，撮合率和端到端延迟之间的 trade-off。</w:t>
            </w:r>
          </w:p>
        </w:tc>
      </w:tr>
      <w:tr w14:paraId="3764288F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4090D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5 Matcher ablation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BB844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exact_only、best_fit、full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0CA03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matched/fallback ratio、split_allocations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511A4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证明三阶段策略相对于简单 exact-only 的价值。</w:t>
            </w:r>
          </w:p>
        </w:tc>
      </w:tr>
      <w:tr w14:paraId="5C997590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F65AD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6 Scale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DD7C5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shard_num = 4,8,16; node_num = 4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0CBBA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throughput、beacon overhead、match_time_ms、proof_time_ms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A973E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展示系统规模扩展时 Solver/Beacon/分片验证开销。</w:t>
            </w:r>
          </w:p>
        </w:tc>
      </w:tr>
      <w:tr w14:paraId="3055CE88"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6F03A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7 Async/network latency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61FCB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network_latency_ms sweep + heterogeneous shard block intervals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CB089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avg_latency_s、watermark_skew、fallback_value_ratio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19195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验证异步窗口规则在无全局高度条件下仍稳定。</w:t>
            </w:r>
          </w:p>
        </w:tc>
      </w:tr>
    </w:tbl>
    <w:p w14:paraId="6A18A380">
      <w:pPr>
        <w:pStyle w:val="2"/>
        <w:spacing w:before="300" w:after="130"/>
      </w:pPr>
      <w:r>
        <w:rPr>
          <w:rFonts w:ascii="Arial" w:hAnsi="Arial" w:eastAsia="Arial" w:cs="Arial"/>
          <w:b/>
          <w:bCs/>
          <w:sz w:val="32"/>
          <w:szCs w:val="32"/>
        </w:rPr>
        <w:t>5. 验证记录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0"/>
        <w:gridCol w:w="4227"/>
        <w:gridCol w:w="3673"/>
      </w:tblGrid>
      <w:tr w14:paraId="5BD0DE3D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46042D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验证项</w:t>
            </w:r>
          </w:p>
        </w:tc>
        <w:tc>
          <w:tcPr>
            <w:tcW w:w="3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D9B8ED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命令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A00239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结果/说明</w:t>
            </w:r>
          </w:p>
        </w:tc>
      </w:tr>
      <w:tr w14:paraId="71E26B8F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F0100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Go build</w:t>
            </w:r>
          </w:p>
        </w:tc>
        <w:tc>
          <w:tcPr>
            <w:tcW w:w="3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0C156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GOCACHE=$PWD/.exp/gocache go build ./...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2EAD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通过。沙箱内默认 Go cache 不可写，使用仓库内 GOCACHE。</w:t>
            </w:r>
          </w:p>
        </w:tc>
      </w:tr>
      <w:tr w14:paraId="2B0A97D0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F44F9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Go tests</w:t>
            </w:r>
          </w:p>
        </w:tc>
        <w:tc>
          <w:tcPr>
            <w:tcW w:w="3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EC11C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GOCACHE=$PWD/.exp/gocache go test -gcflags=all='-N -l' ./...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68CCE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通过，覆盖 chain、PBFT、netting、supervisor、network 等包。</w:t>
            </w:r>
          </w:p>
        </w:tc>
      </w:tr>
      <w:tr w14:paraId="77E1FBCD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655EF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Python syntax</w:t>
            </w:r>
          </w:p>
        </w:tc>
        <w:tc>
          <w:tcPr>
            <w:tcW w:w="3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57F11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PYTHONPYCACHEPREFIX=$PWD/.exp/pycache python3 -m py_compile scripts/netting_experiments/*.py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8B4B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通过。</w:t>
            </w:r>
          </w:p>
        </w:tc>
      </w:tr>
      <w:tr w14:paraId="15BC0960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9B84E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Experiment smoke</w:t>
            </w:r>
          </w:p>
        </w:tc>
        <w:tc>
          <w:tcPr>
            <w:tcW w:w="3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F7A14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scripts/netting_experiments/run_experiments.py --profile smoke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80AF2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第 5 组消融 smoke 已实际跑通；完整 1–7 组真实多进程 smoke 曾因 Codex 使用额度/外部进程限制中断，脚本已可由本地终端继续运行。</w:t>
            </w:r>
          </w:p>
        </w:tc>
      </w:tr>
      <w:tr w14:paraId="2DB48383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53B85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Plot guard</w:t>
            </w:r>
          </w:p>
        </w:tc>
        <w:tc>
          <w:tcPr>
            <w:tcW w:w="3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46B42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python3 scripts/netting_experiments/plot_experiments.py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F6636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默认要求 summary.csv 包含 1–7 组，避免不完整数据生成论文图；调试可用 --allow-missing。</w:t>
            </w:r>
          </w:p>
        </w:tc>
      </w:tr>
    </w:tbl>
    <w:p w14:paraId="097BF417">
      <w:pPr>
        <w:pStyle w:val="2"/>
        <w:spacing w:before="300" w:after="130"/>
      </w:pPr>
      <w:r>
        <w:rPr>
          <w:rFonts w:ascii="Arial" w:hAnsi="Arial" w:eastAsia="Arial" w:cs="Arial"/>
          <w:b/>
          <w:bCs/>
          <w:sz w:val="32"/>
          <w:szCs w:val="32"/>
        </w:rPr>
        <w:t>6. 推荐代码阅读顺序</w:t>
      </w:r>
    </w:p>
    <w:p w14:paraId="1D6B68FB">
      <w:pPr>
        <w:spacing w:before="60" w:after="90"/>
      </w:pPr>
      <w:r>
        <w:rPr>
          <w:rFonts w:ascii="Arial" w:hAnsi="Arial" w:eastAsia="Arial" w:cs="Arial"/>
          <w:sz w:val="22"/>
          <w:szCs w:val="22"/>
        </w:rPr>
        <w:t>建议不要从 PBFT 主循环直接硬啃。更顺的方式是先读协议数据结构，再读源分片、Solver、Beacon、分片执行和实验脚本。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32"/>
        <w:gridCol w:w="1802"/>
        <w:gridCol w:w="4524"/>
        <w:gridCol w:w="2502"/>
      </w:tblGrid>
      <w:tr w14:paraId="2515CCA7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09AC11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顺序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779431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阅读目标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3B990E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文件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DF2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8AD434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读懂什么</w:t>
            </w:r>
          </w:p>
        </w:tc>
      </w:tr>
      <w:tr w14:paraId="414A729C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71590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99634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先看总览文档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F5EC4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docs/netting-implementation-report.md; docs/netting-e2e.md; docs/netting-metrics.md; docs/netting-experiments.md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44AA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先建立概念地图，知道协议角色、指标边界和实验入口。</w:t>
            </w:r>
          </w:p>
        </w:tc>
      </w:tr>
      <w:tr w14:paraId="32075ADB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EBF07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3F881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看配置如何打开 netting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A48B9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config/config.go; config/config_consensus.go; config.netting-e2e.yaml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E6DF5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 enabled、batch_size、MaxWindowDuration、matcher_mode、store path 等实验开关。</w:t>
            </w:r>
          </w:p>
        </w:tc>
      </w:tr>
      <w:tr w14:paraId="52DB34CE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82559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9418C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看数据结构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31A20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pkg/core/intent/intent.go; pkg/core/transaction/transaction.go; pkg/message/nettingmsg.go; pkg/netting/model/*.go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E1B0C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先认识 PaymentIntent、IntentResult、MatchRootBlockBody、SettlementPackage、FallbackKey 等核心对象。</w:t>
            </w:r>
          </w:p>
        </w:tc>
      </w:tr>
      <w:tr w14:paraId="72E77A15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45995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C8F9C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看源分片预留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8D7DA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pkg/chain/intent.go; pkg/netting/registry/registry.go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A29F0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 source shard 如何验证余额/nonce、写入 reserved 状态。</w:t>
            </w:r>
          </w:p>
        </w:tc>
      </w:tr>
      <w:tr w14:paraId="7110CFAA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205CB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829AB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 receipt 和窗口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B6F77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pkg/netting/receipt/receipt.go; pkg/netting/window/manager.go; pkg/netting/window/state.go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A7E85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理解为什么异步网络不用全局高度，而用各分片连续水位冻结 Vector-Cut。</w:t>
            </w:r>
          </w:p>
        </w:tc>
      </w:tr>
      <w:tr w14:paraId="79C1434D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43F0F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CBF81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看撮合算法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4F2B4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pkg/netting/matcher/matcher.go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262AC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按 exact-only → best-fit → split 的顺序读，这是论文算法贡献的核心。</w:t>
            </w:r>
          </w:p>
        </w:tc>
      </w:tr>
      <w:tr w14:paraId="1FA4E668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7F73A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B0A42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 batch 构造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D8450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pkg/netting/batch/builder.go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3E5B80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理解如何从 frozen window 生成 intent result、分片 settlement 和三层 Merkle commitment。</w:t>
            </w:r>
          </w:p>
        </w:tc>
      </w:tr>
      <w:tr w14:paraId="2A1BECB0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F13E1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AD117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 Solver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DDBF0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pkg/netting/solver/node.go; pkg/netting/batchstore/store.go; cmd/solver/main.go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AE299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理解链下求解器如何收集、关窗、构造批次、提交 Beacon，并避免重复 proposal。</w:t>
            </w:r>
          </w:p>
        </w:tc>
      </w:tr>
      <w:tr w14:paraId="532B6FC6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B52D1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11B5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 Beacon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2F673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pkg/netting/beacon/validator.go; pkg/netting/beacon/store.go; consensus/pbft/insideop/beaconop/beaconop.go; cmd/beaconnode/main.go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5FC2E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 MatchRoot 如何被全局确认，以及 Beacon 如何重新派生结果做确定性验证。</w:t>
            </w:r>
          </w:p>
        </w:tc>
      </w:tr>
      <w:tr w14:paraId="227D449A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FF45E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E692C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 settlement/fallback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D371D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pkg/netting/settlement/*.go; pkg/chain/settlement.go; pkg/netting/fallback/*.go; pkg/chain/fallback.go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F0BDFD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 confirmed MatchRoot 后各分片如何本地清算，剩余金额如何进入回退路径。</w:t>
            </w:r>
          </w:p>
        </w:tc>
      </w:tr>
      <w:tr w14:paraId="2109EE3F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3A31D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7C21C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 PBFT 接线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8D0F9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consensus/pbft/node.go; consensus/pbft/outsideop/netting.go; consensus/pbft/insideop/txblockop/*.go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FA331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 netting 如何嵌入原始 BlockEmulator-X 的单线程 PBFT 出块流程。</w:t>
            </w:r>
          </w:p>
        </w:tc>
      </w:tr>
      <w:tr w14:paraId="3231F727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6274DA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11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FC439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看 supervisor 和指标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CD301B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supervisor/committee/netting.go; supervisor/measure/router.go; supervisor/measure/nettingstats/nettingstats.go; pkg/netting/metrics/publisher.go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BD1A7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理解实验输入如何从 CSV 转 intent，结果如何输出为论文指标。</w:t>
            </w:r>
          </w:p>
        </w:tc>
      </w:tr>
      <w:tr w14:paraId="2688D22B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DCB1C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12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B6EF1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最后看实验脚本和图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B2980C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scripts/netting_experiments/run_experiments.py; scripts/netting_experiments/plot_experiments.py; figures/netting/*.svg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CDEF13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理解 7 组实验如何配置、运行、汇总和画图。</w:t>
            </w:r>
          </w:p>
        </w:tc>
      </w:tr>
      <w:tr w14:paraId="71F3D3B6">
        <w:tc>
          <w:tcPr>
            <w:tcW w:w="53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E80DB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13</w:t>
            </w:r>
          </w:p>
        </w:tc>
        <w:tc>
          <w:tcPr>
            <w:tcW w:w="18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EE3BD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用测试反向理解</w:t>
            </w:r>
          </w:p>
        </w:tc>
        <w:tc>
          <w:tcPr>
            <w:tcW w:w="452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21B991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pkg/netting/matcher/matcher_test.go; pkg/netting/window/manager_test.go; pkg/chain/netting_e2e_test.go; consensus/pbft/insideop/beaconop/beaconop_test.go; supervisor/measure/nettingstats/nettingstats_test.go</w:t>
            </w:r>
          </w:p>
        </w:tc>
        <w:tc>
          <w:tcPr>
            <w:tcW w:w="250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E5A6D9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测试通常比实现更短，适合确认每个模块的输入输出语义。</w:t>
            </w:r>
          </w:p>
        </w:tc>
      </w:tr>
    </w:tbl>
    <w:p w14:paraId="52A144AF">
      <w:pPr>
        <w:pStyle w:val="2"/>
        <w:spacing w:before="300" w:after="130"/>
      </w:pPr>
      <w:r>
        <w:rPr>
          <w:rFonts w:ascii="Arial" w:hAnsi="Arial" w:eastAsia="Arial" w:cs="Arial"/>
          <w:b/>
          <w:bCs/>
          <w:sz w:val="32"/>
          <w:szCs w:val="32"/>
        </w:rPr>
        <w:t>7. 进一步写论文时可强调的实现边界</w:t>
      </w:r>
    </w:p>
    <w:p w14:paraId="2F1CB47B">
      <w:pPr>
        <w:pStyle w:val="16"/>
        <w:numPr>
          <w:ilvl w:val="0"/>
          <w:numId w:val="2"/>
        </w:numPr>
        <w:spacing w:after="70"/>
      </w:pPr>
      <w:r>
        <w:rPr>
          <w:rFonts w:ascii="Arial" w:hAnsi="Arial" w:eastAsia="Arial" w:cs="Arial"/>
          <w:sz w:val="21"/>
          <w:szCs w:val="21"/>
        </w:rPr>
        <w:t>当前实现先不考虑用户签名和拜占庭求解器安全实验；PaymentIntent 的签名字段和恶意 Solver 检测可作为后续安全性实验扩展。</w:t>
      </w:r>
      <w:bookmarkStart w:id="0" w:name="_GoBack"/>
      <w:bookmarkEnd w:id="0"/>
    </w:p>
    <w:p w14:paraId="4DB9F930">
      <w:pPr>
        <w:pStyle w:val="16"/>
        <w:numPr>
          <w:ilvl w:val="0"/>
          <w:numId w:val="2"/>
        </w:numPr>
        <w:spacing w:after="70"/>
      </w:pPr>
      <w:r>
        <w:rPr>
          <w:rFonts w:ascii="Arial" w:hAnsi="Arial" w:eastAsia="Arial" w:cs="Arial"/>
          <w:sz w:val="21"/>
          <w:szCs w:val="21"/>
        </w:rPr>
        <w:t>当前窗口关闭规则保留 BatchSize 与 MaxWindowDuration，不依赖全局区块高度；Vector-Cut 由各分片连续 finalized receipt 冻结，因此可用于异步分片网络。</w:t>
      </w:r>
    </w:p>
    <w:p w14:paraId="7B5DEF5F">
      <w:pPr>
        <w:pStyle w:val="16"/>
        <w:numPr>
          <w:ilvl w:val="0"/>
          <w:numId w:val="2"/>
        </w:numPr>
        <w:spacing w:after="70"/>
      </w:pPr>
      <w:r>
        <w:rPr>
          <w:rFonts w:ascii="Arial" w:hAnsi="Arial" w:eastAsia="Arial" w:cs="Arial"/>
          <w:sz w:val="21"/>
          <w:szCs w:val="21"/>
        </w:rPr>
        <w:t>第 2–7 组实验主要使用受控 synthetic workload，以隔离变量；第 1 组 baseline 使用 selectedTxs_300K.csv 的真实 trace 切片。</w:t>
      </w:r>
    </w:p>
    <w:p w14:paraId="2D69C758">
      <w:pPr>
        <w:pStyle w:val="16"/>
        <w:numPr>
          <w:ilvl w:val="0"/>
          <w:numId w:val="2"/>
        </w:numPr>
        <w:spacing w:after="70"/>
      </w:pPr>
      <w:r>
        <w:rPr>
          <w:rFonts w:ascii="Arial" w:hAnsi="Arial" w:eastAsia="Arial" w:cs="Arial"/>
          <w:sz w:val="21"/>
          <w:szCs w:val="21"/>
        </w:rPr>
        <w:t>cross_messages_per_tx 是协议级估算，排除了 TCP/IP、gRPC、protobuf framing；Beacon bytes 和 proof time 来自 netting metrics 路径。</w:t>
      </w:r>
    </w:p>
    <w:sectPr>
      <w:footerReference r:id="rId3" w:type="default"/>
      <w:pgSz w:w="12240" w:h="15840"/>
      <w:pgMar w:top="1080" w:right="720" w:bottom="108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86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6334D"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6CD59CB"/>
    <w:multiLevelType w:val="singleLevel"/>
    <w:tmpl w:val="56CD59CB"/>
    <w:lvl w:ilvl="0" w:tentative="0">
      <w:start w:val="1"/>
      <w:numFmt w:val="bullet"/>
      <w:lvlText w:val="•"/>
      <w:lvlJc w:val="left"/>
      <w:pPr>
        <w:ind w:left="520" w:hanging="260"/>
      </w:pPr>
    </w:lvl>
  </w:abstractNum>
  <w:abstractNum w:abstractNumId="1">
    <w:nsid w:val="6AF46DF6"/>
    <w:multiLevelType w:val="singleLevel"/>
    <w:tmpl w:val="6AF46DF6"/>
    <w:lvl w:ilvl="0" w:tentative="0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BDD9421"/>
    <w:rsid w:val="5E6AA21D"/>
    <w:rsid w:val="D7BF82B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00" w:after="130"/>
      <w:outlineLvl w:val="0"/>
    </w:pPr>
    <w:rPr>
      <w:rFonts w:ascii="Arial" w:hAnsi="Arial" w:eastAsia="Arial" w:cs="Arial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20" w:after="130"/>
      <w:outlineLvl w:val="1"/>
    </w:pPr>
    <w:rPr>
      <w:rFonts w:ascii="Arial" w:hAnsi="Arial" w:eastAsia="Arial" w:cs="Arial"/>
      <w:b/>
      <w:bCs/>
      <w:sz w:val="27"/>
      <w:szCs w:val="27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19</TotalTime>
  <ScaleCrop>false</ScaleCrop>
  <LinksUpToDate>false</LinksUpToDate>
  <Application>WPS Office_12.1.23540.23540_F1E327BC-269C-435d-A152-05C5408002CA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廖佳娜</cp:lastModifiedBy>
  <dcterms:modified xsi:type="dcterms:W3CDTF">2026-09-07T21:14:01Z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68AA45D5DBA27C4899B89E6AFC7E7ABC_42</vt:lpwstr>
  </property>
</Properties>
</file>