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E42EE" w14:textId="77777777" w:rsidR="00BB752E" w:rsidRPr="00BE7197" w:rsidRDefault="00BB752E" w:rsidP="00BB752E">
      <w:pPr>
        <w:spacing w:after="0"/>
        <w:rPr>
          <w:rFonts w:ascii="Arial" w:eastAsia="Calibri" w:hAnsi="Arial" w:cs="Arial"/>
          <w:b/>
          <w:bCs/>
          <w:sz w:val="24"/>
          <w:szCs w:val="24"/>
          <w:lang w:eastAsia="ru-RU"/>
        </w:rPr>
      </w:pPr>
      <w:r w:rsidRPr="0035634F">
        <w:rPr>
          <w:rFonts w:ascii="Arial" w:eastAsia="Calibri" w:hAnsi="Arial" w:cs="Arial"/>
          <w:b/>
          <w:sz w:val="23"/>
          <w:szCs w:val="23"/>
          <w:lang w:eastAsia="ru-RU"/>
        </w:rPr>
        <w:t xml:space="preserve">Торговое </w:t>
      </w:r>
      <w:proofErr w:type="gramStart"/>
      <w:r w:rsidRPr="0035634F">
        <w:rPr>
          <w:rFonts w:ascii="Arial" w:eastAsia="Calibri" w:hAnsi="Arial" w:cs="Arial"/>
          <w:b/>
          <w:sz w:val="23"/>
          <w:szCs w:val="23"/>
          <w:lang w:eastAsia="ru-RU"/>
        </w:rPr>
        <w:t>название:</w:t>
      </w:r>
      <w:r w:rsidRPr="0035634F">
        <w:rPr>
          <w:rFonts w:ascii="Arial" w:eastAsia="Calibri" w:hAnsi="Arial" w:cs="Arial"/>
          <w:b/>
          <w:sz w:val="20"/>
          <w:szCs w:val="20"/>
          <w:lang w:eastAsia="ru-RU"/>
        </w:rPr>
        <w:t xml:space="preserve">   </w:t>
      </w:r>
      <w:proofErr w:type="spellStart"/>
      <w:proofErr w:type="gramEnd"/>
      <w:r w:rsidRPr="00957C41">
        <w:rPr>
          <w:rFonts w:ascii="Arial" w:eastAsia="Calibri" w:hAnsi="Arial" w:cs="Arial"/>
          <w:b/>
          <w:bCs/>
          <w:sz w:val="24"/>
          <w:szCs w:val="24"/>
          <w:lang w:eastAsia="ru-RU"/>
        </w:rPr>
        <w:t>Медирен</w:t>
      </w:r>
      <w:proofErr w:type="spellEnd"/>
      <w:r w:rsidRPr="00957C41">
        <w:rPr>
          <w:rFonts w:ascii="Arial" w:eastAsia="Calibri" w:hAnsi="Arial" w:cs="Arial"/>
          <w:b/>
          <w:bCs/>
          <w:sz w:val="24"/>
          <w:szCs w:val="24"/>
          <w:vertAlign w:val="superscript"/>
          <w:lang w:eastAsia="ru-RU"/>
        </w:rPr>
        <w:t>®</w:t>
      </w:r>
      <w:r w:rsidRPr="00957C41">
        <w:rPr>
          <w:rFonts w:ascii="Arial" w:eastAsia="Calibri" w:hAnsi="Arial" w:cs="Arial"/>
          <w:b/>
          <w:bCs/>
          <w:sz w:val="24"/>
          <w:szCs w:val="24"/>
          <w:lang w:eastAsia="ru-RU"/>
        </w:rPr>
        <w:t xml:space="preserve"> </w:t>
      </w:r>
    </w:p>
    <w:p w14:paraId="12EA7FF4" w14:textId="77777777" w:rsidR="00BB752E" w:rsidRDefault="00BB752E" w:rsidP="00BB752E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</w:p>
    <w:p w14:paraId="06BCB1DF" w14:textId="57DDC807" w:rsidR="008049E4" w:rsidRPr="008049E4" w:rsidRDefault="008049E4" w:rsidP="008049E4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8049E4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 xml:space="preserve">Форма выпуска, упаковка и состав препарата </w:t>
      </w:r>
      <w:proofErr w:type="spellStart"/>
      <w:r w:rsidRPr="00957C41">
        <w:rPr>
          <w:rFonts w:ascii="Arial" w:eastAsia="Calibri" w:hAnsi="Arial" w:cs="Arial"/>
          <w:b/>
          <w:bCs/>
          <w:sz w:val="24"/>
          <w:szCs w:val="24"/>
          <w:lang w:eastAsia="ru-RU"/>
        </w:rPr>
        <w:t>Медирен</w:t>
      </w:r>
      <w:proofErr w:type="spellEnd"/>
      <w:r w:rsidRPr="00957C41">
        <w:rPr>
          <w:rFonts w:ascii="Arial" w:eastAsia="Calibri" w:hAnsi="Arial" w:cs="Arial"/>
          <w:b/>
          <w:bCs/>
          <w:sz w:val="24"/>
          <w:szCs w:val="24"/>
          <w:vertAlign w:val="superscript"/>
          <w:lang w:eastAsia="ru-RU"/>
        </w:rPr>
        <w:t>®</w:t>
      </w:r>
    </w:p>
    <w:p w14:paraId="100078FA" w14:textId="77777777" w:rsidR="008049E4" w:rsidRPr="008049E4" w:rsidRDefault="008049E4" w:rsidP="008049E4">
      <w:pPr>
        <w:spacing w:after="0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D2DD4CD" w14:textId="77777777" w:rsidR="008049E4" w:rsidRPr="008049E4" w:rsidRDefault="008049E4" w:rsidP="008049E4">
      <w:pPr>
        <w:spacing w:before="150" w:after="150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8049E4">
        <w:rPr>
          <w:rFonts w:ascii="Arial" w:eastAsia="Times New Roman" w:hAnsi="Arial" w:cs="Arial"/>
          <w:b/>
          <w:bCs/>
          <w:i/>
          <w:iCs/>
          <w:color w:val="333333"/>
          <w:kern w:val="0"/>
          <w:sz w:val="20"/>
          <w:szCs w:val="20"/>
          <w:lang w:eastAsia="ru-RU"/>
          <w14:ligatures w14:val="none"/>
        </w:rPr>
        <w:t>Капли для приема внутрь</w:t>
      </w:r>
      <w:r w:rsidRPr="008049E4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в виде прозрачной или слегка мутной жидкости желтовато-коричневого цвета, с характерным запахом; возможна опалесценция (помутнение) и образование небольшого осадка в процессе хранения.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71"/>
        <w:gridCol w:w="1967"/>
      </w:tblGrid>
      <w:tr w:rsidR="008049E4" w:rsidRPr="008049E4" w14:paraId="6B25A909" w14:textId="77777777"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6249AF56" w14:textId="77777777" w:rsidR="008049E4" w:rsidRPr="000010A0" w:rsidRDefault="008049E4" w:rsidP="008049E4">
            <w:pPr>
              <w:spacing w:after="0"/>
              <w:rPr>
                <w:rFonts w:ascii="Arial" w:eastAsia="Times New Roman" w:hAnsi="Arial" w:cs="Arial"/>
                <w:color w:val="333333"/>
                <w:kern w:val="0"/>
                <w:sz w:val="22"/>
                <w:lang w:eastAsia="ru-RU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3FD8619D" w14:textId="77777777" w:rsidR="008049E4" w:rsidRPr="000010A0" w:rsidRDefault="008049E4" w:rsidP="008049E4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0010A0">
              <w:rPr>
                <w:rFonts w:eastAsia="Times New Roman" w:cs="Times New Roman"/>
                <w:b/>
                <w:bCs/>
                <w:kern w:val="0"/>
                <w:sz w:val="22"/>
                <w:lang w:eastAsia="ru-RU"/>
                <w14:ligatures w14:val="none"/>
              </w:rPr>
              <w:t>1 мл (соответствует 0.98 г)</w:t>
            </w:r>
          </w:p>
        </w:tc>
      </w:tr>
      <w:tr w:rsidR="008049E4" w:rsidRPr="008049E4" w14:paraId="5C4DDF0E" w14:textId="77777777"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1ED2B8C8" w14:textId="77777777" w:rsidR="008049E4" w:rsidRPr="000010A0" w:rsidRDefault="008049E4" w:rsidP="008049E4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жидкий экстракт (1:56) золототысячника травы (</w:t>
            </w:r>
            <w:proofErr w:type="spellStart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Centaurii</w:t>
            </w:r>
            <w:proofErr w:type="spellEnd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 xml:space="preserve"> </w:t>
            </w:r>
            <w:proofErr w:type="spellStart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herba</w:t>
            </w:r>
            <w:proofErr w:type="spellEnd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) : любистока лекарственного корней (</w:t>
            </w:r>
            <w:proofErr w:type="spellStart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Levistici</w:t>
            </w:r>
            <w:proofErr w:type="spellEnd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 xml:space="preserve"> </w:t>
            </w:r>
            <w:proofErr w:type="spellStart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officinalis</w:t>
            </w:r>
            <w:proofErr w:type="spellEnd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 xml:space="preserve"> </w:t>
            </w:r>
            <w:proofErr w:type="spellStart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radices</w:t>
            </w:r>
            <w:proofErr w:type="spellEnd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) : розмарина обыкновенного листьев (</w:t>
            </w:r>
            <w:proofErr w:type="spellStart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Rosmarini</w:t>
            </w:r>
            <w:proofErr w:type="spellEnd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 xml:space="preserve"> </w:t>
            </w:r>
            <w:proofErr w:type="spellStart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officinalis</w:t>
            </w:r>
            <w:proofErr w:type="spellEnd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 xml:space="preserve"> </w:t>
            </w:r>
            <w:proofErr w:type="spellStart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folia</w:t>
            </w:r>
            <w:proofErr w:type="spellEnd"/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) (1:1:1)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15078389" w14:textId="77777777" w:rsidR="008049E4" w:rsidRPr="000010A0" w:rsidRDefault="008049E4" w:rsidP="008049E4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0010A0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976 мг</w:t>
            </w:r>
          </w:p>
        </w:tc>
      </w:tr>
    </w:tbl>
    <w:p w14:paraId="32731672" w14:textId="77777777" w:rsidR="008049E4" w:rsidRPr="008049E4" w:rsidRDefault="008049E4" w:rsidP="008049E4">
      <w:pPr>
        <w:spacing w:before="150" w:after="150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8049E4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Экстрагенты:</w:t>
      </w:r>
      <w:r w:rsidRPr="008049E4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этанол 59%, вода очищенная.</w:t>
      </w:r>
    </w:p>
    <w:p w14:paraId="0430DEA5" w14:textId="77777777" w:rsidR="008049E4" w:rsidRPr="008049E4" w:rsidRDefault="008049E4" w:rsidP="008049E4">
      <w:pPr>
        <w:spacing w:before="150" w:after="150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8049E4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Содержание этанола:</w:t>
      </w:r>
      <w:r w:rsidRPr="008049E4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16.0-19.5% (об/об).</w:t>
      </w:r>
    </w:p>
    <w:p w14:paraId="61DA2180" w14:textId="77777777" w:rsidR="008049E4" w:rsidRPr="008049E4" w:rsidRDefault="008049E4" w:rsidP="008049E4">
      <w:pPr>
        <w:spacing w:before="150" w:after="150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8049E4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100 мл - флаконы темного стекла (1) с дозирующим капельным устройством сверху - пачки картонные.</w:t>
      </w:r>
    </w:p>
    <w:p w14:paraId="0844293C" w14:textId="77777777" w:rsidR="008049E4" w:rsidRPr="008049E4" w:rsidRDefault="008049E4" w:rsidP="008049E4">
      <w:pPr>
        <w:spacing w:before="150" w:after="150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8049E4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На флакон наклеивают самоклеящуюся этикетку.</w:t>
      </w:r>
    </w:p>
    <w:p w14:paraId="3CD71BA8" w14:textId="77777777" w:rsidR="00BB752E" w:rsidRDefault="00BB752E" w:rsidP="00BB752E">
      <w:pPr>
        <w:spacing w:after="0"/>
      </w:pPr>
      <w:r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Г</w:t>
      </w: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руппа:</w:t>
      </w:r>
      <w:r w:rsidRPr="00C70CE3">
        <w:rPr>
          <w:rFonts w:ascii="Arial" w:eastAsia="Times New Roman" w:hAnsi="Arial" w:cs="Arial"/>
          <w:color w:val="333333"/>
          <w:kern w:val="0"/>
          <w:sz w:val="21"/>
          <w:szCs w:val="21"/>
          <w:lang w:eastAsia="ru-RU"/>
          <w14:ligatures w14:val="none"/>
        </w:rPr>
        <w:t> </w:t>
      </w:r>
      <w:hyperlink r:id="rId5" w:history="1">
        <w:r w:rsidRPr="00957C41">
          <w:rPr>
            <w:rFonts w:ascii="Arial" w:eastAsia="Times New Roman" w:hAnsi="Arial" w:cs="Arial"/>
            <w:color w:val="ED7D31" w:themeColor="accent2"/>
            <w:kern w:val="0"/>
            <w:sz w:val="21"/>
            <w:szCs w:val="21"/>
            <w:lang w:eastAsia="ru-RU"/>
            <w14:ligatures w14:val="none"/>
          </w:rPr>
          <w:t>Фитопрепарат, применяемый при заболеваниях почек и мочевыводящих путей</w:t>
        </w:r>
      </w:hyperlink>
    </w:p>
    <w:p w14:paraId="473C657E" w14:textId="77777777" w:rsidR="007B50E5" w:rsidRPr="00957C41" w:rsidRDefault="007B50E5" w:rsidP="00BB752E">
      <w:pPr>
        <w:spacing w:after="0"/>
        <w:rPr>
          <w:rFonts w:ascii="Arial" w:eastAsia="Times New Roman" w:hAnsi="Arial" w:cs="Arial"/>
          <w:color w:val="ED7D31" w:themeColor="accent2"/>
          <w:kern w:val="0"/>
          <w:sz w:val="21"/>
          <w:szCs w:val="21"/>
          <w:lang w:eastAsia="ru-RU"/>
          <w14:ligatures w14:val="none"/>
        </w:rPr>
      </w:pPr>
    </w:p>
    <w:p w14:paraId="234CE2FC" w14:textId="3E7ED7CC" w:rsidR="00BB752E" w:rsidRPr="00957C41" w:rsidRDefault="00BB752E" w:rsidP="00BB752E">
      <w:pPr>
        <w:spacing w:after="0"/>
        <w:rPr>
          <w:color w:val="ED7D31" w:themeColor="accent2"/>
        </w:rPr>
      </w:pPr>
      <w:r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Т</w:t>
      </w: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ерапевтическая группа:</w:t>
      </w:r>
      <w:r w:rsidRPr="00C70CE3">
        <w:rPr>
          <w:rFonts w:ascii="Arial" w:eastAsia="Times New Roman" w:hAnsi="Arial" w:cs="Arial"/>
          <w:color w:val="333333"/>
          <w:kern w:val="0"/>
          <w:sz w:val="21"/>
          <w:szCs w:val="21"/>
          <w:lang w:eastAsia="ru-RU"/>
          <w14:ligatures w14:val="none"/>
        </w:rPr>
        <w:t> </w:t>
      </w:r>
      <w:hyperlink r:id="rId6" w:history="1">
        <w:r w:rsidRPr="00957C41">
          <w:rPr>
            <w:rFonts w:ascii="Arial" w:eastAsia="Times New Roman" w:hAnsi="Arial" w:cs="Arial"/>
            <w:color w:val="ED7D31" w:themeColor="accent2"/>
            <w:kern w:val="0"/>
            <w:sz w:val="21"/>
            <w:szCs w:val="21"/>
            <w:lang w:eastAsia="ru-RU"/>
            <w14:ligatures w14:val="none"/>
          </w:rPr>
          <w:t>Средства, применяемые в урологии; другие средства, применяемые в урологии</w:t>
        </w:r>
      </w:hyperlink>
      <w:r w:rsidR="00957C41" w:rsidRPr="00957C41">
        <w:rPr>
          <w:color w:val="ED7D31" w:themeColor="accent2"/>
        </w:rPr>
        <w:t>.</w:t>
      </w:r>
    </w:p>
    <w:p w14:paraId="70CB3360" w14:textId="77777777" w:rsidR="00957C41" w:rsidRPr="00C70CE3" w:rsidRDefault="00957C41" w:rsidP="00BB752E">
      <w:pPr>
        <w:spacing w:after="0"/>
        <w:rPr>
          <w:rFonts w:ascii="Arial" w:eastAsia="Times New Roman" w:hAnsi="Arial" w:cs="Arial"/>
          <w:color w:val="333333"/>
          <w:kern w:val="0"/>
          <w:sz w:val="21"/>
          <w:szCs w:val="21"/>
          <w:lang w:eastAsia="ru-RU"/>
          <w14:ligatures w14:val="none"/>
        </w:rPr>
      </w:pPr>
    </w:p>
    <w:p w14:paraId="57ACA70D" w14:textId="77777777" w:rsidR="00BB752E" w:rsidRDefault="00BB752E" w:rsidP="00BB752E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Д</w:t>
      </w: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ействие</w:t>
      </w:r>
    </w:p>
    <w:p w14:paraId="15917ED5" w14:textId="6C620C71" w:rsidR="00BB752E" w:rsidRPr="00B52A41" w:rsidRDefault="00BB752E" w:rsidP="00BB752E">
      <w:pPr>
        <w:spacing w:before="30" w:after="45"/>
        <w:outlineLvl w:val="1"/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</w:pPr>
      <w:r w:rsidRPr="00B52A41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 xml:space="preserve">Механизм действия и свойства </w:t>
      </w:r>
      <w:proofErr w:type="spellStart"/>
      <w:r w:rsidRPr="00B52A41">
        <w:rPr>
          <w:rFonts w:ascii="Arial" w:eastAsia="Calibri" w:hAnsi="Arial" w:cs="Arial"/>
          <w:sz w:val="20"/>
          <w:szCs w:val="20"/>
          <w:lang w:eastAsia="ru-RU"/>
        </w:rPr>
        <w:t>Медирен</w:t>
      </w:r>
      <w:proofErr w:type="spellEnd"/>
      <w:r w:rsidRPr="00B52A41">
        <w:rPr>
          <w:rFonts w:ascii="Arial" w:eastAsia="Calibri" w:hAnsi="Arial" w:cs="Arial"/>
          <w:sz w:val="20"/>
          <w:szCs w:val="20"/>
          <w:vertAlign w:val="superscript"/>
          <w:lang w:eastAsia="ru-RU"/>
        </w:rPr>
        <w:t>®</w:t>
      </w:r>
      <w:r w:rsidRPr="00B52A41">
        <w:rPr>
          <w:rFonts w:ascii="Arial" w:eastAsia="Calibri" w:hAnsi="Arial" w:cs="Arial"/>
          <w:sz w:val="20"/>
          <w:szCs w:val="20"/>
          <w:lang w:eastAsia="ru-RU"/>
        </w:rPr>
        <w:t xml:space="preserve"> </w:t>
      </w:r>
      <w:r w:rsidR="00594805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>сироп</w:t>
      </w:r>
      <w:r w:rsidRPr="00B52A41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>, соответствует аналогичным действующим веществам, указанным информацией справочника Видаль</w:t>
      </w:r>
    </w:p>
    <w:p w14:paraId="09BB7472" w14:textId="77777777" w:rsidR="00BB752E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B52A41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Комбинированный препарат растительного происхождения, оказывает мочегонное, спазмолитическое, противовоспалительное, противомикробное действие. </w:t>
      </w:r>
    </w:p>
    <w:p w14:paraId="559170DE" w14:textId="77777777" w:rsidR="00957C41" w:rsidRPr="00C70CE3" w:rsidRDefault="00957C41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776EDC54" w14:textId="77777777" w:rsidR="00BB752E" w:rsidRDefault="00BB752E" w:rsidP="00BB752E">
      <w:pPr>
        <w:spacing w:before="30" w:after="45"/>
        <w:outlineLvl w:val="1"/>
        <w:rPr>
          <w:rFonts w:ascii="Arial" w:eastAsia="Times New Roman" w:hAnsi="Arial" w:cs="Arial"/>
          <w:color w:val="2E3F51"/>
          <w:kern w:val="0"/>
          <w:sz w:val="20"/>
          <w:szCs w:val="20"/>
          <w:vertAlign w:val="superscript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 xml:space="preserve">Показания препарата </w:t>
      </w:r>
      <w:proofErr w:type="spellStart"/>
      <w:r w:rsidRPr="008036A6">
        <w:rPr>
          <w:rFonts w:ascii="Arial" w:eastAsia="Times New Roman" w:hAnsi="Arial" w:cs="Arial"/>
          <w:b/>
          <w:bCs/>
          <w:color w:val="2E3F51"/>
          <w:kern w:val="0"/>
          <w:sz w:val="20"/>
          <w:szCs w:val="20"/>
          <w:lang w:eastAsia="ru-RU"/>
          <w14:ligatures w14:val="none"/>
        </w:rPr>
        <w:t>Медирен</w:t>
      </w:r>
      <w:proofErr w:type="spellEnd"/>
      <w:r w:rsidRPr="008036A6">
        <w:rPr>
          <w:rFonts w:ascii="Arial" w:eastAsia="Times New Roman" w:hAnsi="Arial" w:cs="Arial"/>
          <w:b/>
          <w:bCs/>
          <w:color w:val="2E3F51"/>
          <w:kern w:val="0"/>
          <w:sz w:val="20"/>
          <w:szCs w:val="20"/>
          <w:vertAlign w:val="superscript"/>
          <w:lang w:eastAsia="ru-RU"/>
          <w14:ligatures w14:val="none"/>
        </w:rPr>
        <w:t>®</w:t>
      </w:r>
    </w:p>
    <w:p w14:paraId="73077514" w14:textId="1040317F" w:rsidR="00BB752E" w:rsidRPr="00C70CE3" w:rsidRDefault="00007A46" w:rsidP="00BB752E">
      <w:pPr>
        <w:spacing w:before="30" w:after="45"/>
        <w:outlineLvl w:val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>
        <w:rPr>
          <w:rFonts w:ascii="Arial" w:hAnsi="Arial" w:cs="Arial"/>
          <w:color w:val="333333"/>
          <w:sz w:val="20"/>
          <w:szCs w:val="20"/>
        </w:rPr>
        <w:t>Для применения у взрослых и детей в возрасте от 1 года до 18 лет в комплексной терапии:</w:t>
      </w:r>
    </w:p>
    <w:p w14:paraId="00237622" w14:textId="77777777" w:rsidR="00BB752E" w:rsidRPr="00C70CE3" w:rsidRDefault="00BB752E" w:rsidP="00BB752E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острых и хронических инфекций мочевого пузыря (цистита);</w:t>
      </w:r>
    </w:p>
    <w:p w14:paraId="6B779F2F" w14:textId="77777777" w:rsidR="00BB752E" w:rsidRPr="00C70CE3" w:rsidRDefault="00BB752E" w:rsidP="00BB752E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при инфекционном и неинфекционном хроническом воспалении почек (пиелонефрит, гломерулонефрит, интерстициальный нефрит);</w:t>
      </w:r>
    </w:p>
    <w:p w14:paraId="6722CE0D" w14:textId="77777777" w:rsidR="00BB752E" w:rsidRPr="00C70CE3" w:rsidRDefault="00BB752E" w:rsidP="00BB752E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в качестве средства, препятствующего образованию мочевых камней (также после удаления мочевых камней).</w:t>
      </w:r>
    </w:p>
    <w:p w14:paraId="57AC21F8" w14:textId="77777777" w:rsidR="006926EB" w:rsidRPr="006926EB" w:rsidRDefault="006926EB" w:rsidP="006926EB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6926EB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Режим дозирования</w:t>
      </w:r>
    </w:p>
    <w:p w14:paraId="01A01A90" w14:textId="77777777" w:rsidR="006926EB" w:rsidRPr="006926EB" w:rsidRDefault="006926EB" w:rsidP="006926EB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6926EB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Рекомендуется принимать 3 раза/день (утром, днем и вечером) в соответствии с приведенной ниже таблицей.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8"/>
        <w:gridCol w:w="1718"/>
        <w:gridCol w:w="1932"/>
      </w:tblGrid>
      <w:tr w:rsidR="006926EB" w:rsidRPr="006926EB" w14:paraId="2E527F0C" w14:textId="77777777"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7627B643" w14:textId="77777777" w:rsidR="006926EB" w:rsidRPr="00F22DCB" w:rsidRDefault="006926EB" w:rsidP="006926EB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F22DCB">
              <w:rPr>
                <w:rFonts w:eastAsia="Times New Roman" w:cs="Times New Roman"/>
                <w:b/>
                <w:bCs/>
                <w:kern w:val="0"/>
                <w:sz w:val="22"/>
                <w:lang w:eastAsia="ru-RU"/>
                <w14:ligatures w14:val="none"/>
              </w:rPr>
              <w:t>Возраст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6C883222" w14:textId="77777777" w:rsidR="006926EB" w:rsidRPr="00F22DCB" w:rsidRDefault="006926EB" w:rsidP="006926EB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F22DCB">
              <w:rPr>
                <w:rFonts w:eastAsia="Times New Roman" w:cs="Times New Roman"/>
                <w:b/>
                <w:bCs/>
                <w:kern w:val="0"/>
                <w:sz w:val="22"/>
                <w:lang w:eastAsia="ru-RU"/>
                <w14:ligatures w14:val="none"/>
              </w:rPr>
              <w:t>Разовая доза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3FF8293A" w14:textId="77777777" w:rsidR="006926EB" w:rsidRPr="00F22DCB" w:rsidRDefault="006926EB" w:rsidP="006926EB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F22DCB">
              <w:rPr>
                <w:rFonts w:eastAsia="Times New Roman" w:cs="Times New Roman"/>
                <w:b/>
                <w:bCs/>
                <w:kern w:val="0"/>
                <w:sz w:val="22"/>
                <w:lang w:eastAsia="ru-RU"/>
                <w14:ligatures w14:val="none"/>
              </w:rPr>
              <w:t>Суточная доза</w:t>
            </w:r>
          </w:p>
        </w:tc>
      </w:tr>
      <w:tr w:rsidR="006926EB" w:rsidRPr="006926EB" w14:paraId="21325B76" w14:textId="77777777"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2DE0B532" w14:textId="77777777" w:rsidR="006926EB" w:rsidRPr="00F22DCB" w:rsidRDefault="006926EB" w:rsidP="006926EB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F22DCB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Дети в возрасте 1-5 лет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2093FDBB" w14:textId="77777777" w:rsidR="006926EB" w:rsidRPr="00F22DCB" w:rsidRDefault="006926EB" w:rsidP="006926EB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F22DCB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15 капель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6879BC1C" w14:textId="77777777" w:rsidR="006926EB" w:rsidRPr="00F22DCB" w:rsidRDefault="006926EB" w:rsidP="006926EB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F22DCB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45 капель</w:t>
            </w:r>
          </w:p>
        </w:tc>
      </w:tr>
      <w:tr w:rsidR="006926EB" w:rsidRPr="006926EB" w14:paraId="769E111E" w14:textId="77777777"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23EB76D1" w14:textId="77777777" w:rsidR="006926EB" w:rsidRPr="00F22DCB" w:rsidRDefault="006926EB" w:rsidP="006926EB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F22DCB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Дети в возрасте 6-11 лет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1B39E534" w14:textId="77777777" w:rsidR="006926EB" w:rsidRPr="00F22DCB" w:rsidRDefault="006926EB" w:rsidP="006926EB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F22DCB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25 капель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171AB4FD" w14:textId="77777777" w:rsidR="006926EB" w:rsidRPr="00F22DCB" w:rsidRDefault="006926EB" w:rsidP="006926EB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F22DCB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75 капель</w:t>
            </w:r>
          </w:p>
        </w:tc>
      </w:tr>
      <w:tr w:rsidR="006926EB" w:rsidRPr="006926EB" w14:paraId="1FB2F103" w14:textId="77777777"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2903A97B" w14:textId="77777777" w:rsidR="006926EB" w:rsidRPr="00F22DCB" w:rsidRDefault="006926EB" w:rsidP="006926EB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F22DCB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Подростки в возрасте 12 лет и старше, взрослые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0C8997A6" w14:textId="77777777" w:rsidR="006926EB" w:rsidRPr="00F22DCB" w:rsidRDefault="006926EB" w:rsidP="006926EB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F22DCB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50 капель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158B651E" w14:textId="77777777" w:rsidR="006926EB" w:rsidRPr="00F22DCB" w:rsidRDefault="006926EB" w:rsidP="006926EB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F22DCB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150 капель</w:t>
            </w:r>
          </w:p>
        </w:tc>
      </w:tr>
    </w:tbl>
    <w:p w14:paraId="2ED4D403" w14:textId="77777777" w:rsidR="006926EB" w:rsidRPr="006926EB" w:rsidRDefault="006926EB" w:rsidP="006926EB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6926EB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lastRenderedPageBreak/>
        <w:t>50 капель соответствуют 3.3 мл препарата.</w:t>
      </w:r>
    </w:p>
    <w:p w14:paraId="35D63B5A" w14:textId="77777777" w:rsidR="006926EB" w:rsidRPr="006926EB" w:rsidRDefault="006926EB" w:rsidP="006926EB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6926EB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Длительность курса лечения зависит от течения заболевания. После наступления улучшения (завершения острой фазы заболевания) следует продолжить лечение препаратом в течение 2-4 недель. Увеличение продолжительности и проведение повторных курсов лечения возможно по рекомендации врача.</w:t>
      </w:r>
    </w:p>
    <w:p w14:paraId="76AFB160" w14:textId="77777777" w:rsidR="006926EB" w:rsidRPr="006926EB" w:rsidRDefault="006926EB" w:rsidP="006926EB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6926EB">
        <w:rPr>
          <w:rFonts w:ascii="Arial" w:eastAsia="Times New Roman" w:hAnsi="Arial" w:cs="Arial"/>
          <w:b/>
          <w:bCs/>
          <w:color w:val="333333"/>
          <w:kern w:val="0"/>
          <w:sz w:val="20"/>
          <w:szCs w:val="20"/>
          <w:lang w:eastAsia="ru-RU"/>
          <w14:ligatures w14:val="none"/>
        </w:rPr>
        <w:t>Дети</w:t>
      </w:r>
    </w:p>
    <w:p w14:paraId="4D34AD3B" w14:textId="77777777" w:rsidR="006926EB" w:rsidRPr="006926EB" w:rsidRDefault="006926EB" w:rsidP="006926EB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6926EB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Безопасность и эффективность у </w:t>
      </w:r>
      <w:r w:rsidRPr="006926EB">
        <w:rPr>
          <w:rFonts w:ascii="Arial" w:eastAsia="Times New Roman" w:hAnsi="Arial" w:cs="Arial"/>
          <w:b/>
          <w:bCs/>
          <w:color w:val="333333"/>
          <w:kern w:val="0"/>
          <w:sz w:val="20"/>
          <w:szCs w:val="20"/>
          <w:lang w:eastAsia="ru-RU"/>
          <w14:ligatures w14:val="none"/>
        </w:rPr>
        <w:t>детей в возрасте от 0 до 1 года</w:t>
      </w:r>
      <w:r w:rsidRPr="006926EB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на настоящий момент не установлены. Данные отсутствуют.</w:t>
      </w:r>
    </w:p>
    <w:p w14:paraId="78E685EC" w14:textId="77777777" w:rsidR="006926EB" w:rsidRPr="006926EB" w:rsidRDefault="006926EB" w:rsidP="006926EB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6926EB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Способ применения</w:t>
      </w:r>
    </w:p>
    <w:p w14:paraId="3EACB89A" w14:textId="6DB618D0" w:rsidR="006926EB" w:rsidRPr="006926EB" w:rsidRDefault="006926EB" w:rsidP="006926EB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6926EB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Препарат </w:t>
      </w:r>
      <w:proofErr w:type="spellStart"/>
      <w:r w:rsidR="00181667" w:rsidRPr="00181667">
        <w:rPr>
          <w:rFonts w:ascii="Arial" w:eastAsia="Calibri" w:hAnsi="Arial" w:cs="Arial"/>
          <w:sz w:val="20"/>
          <w:szCs w:val="20"/>
          <w:lang w:eastAsia="ru-RU"/>
        </w:rPr>
        <w:t>Медирен</w:t>
      </w:r>
      <w:proofErr w:type="spellEnd"/>
      <w:proofErr w:type="gramStart"/>
      <w:r w:rsidR="00181667" w:rsidRPr="00181667">
        <w:rPr>
          <w:rFonts w:ascii="Arial" w:eastAsia="Calibri" w:hAnsi="Arial" w:cs="Arial"/>
          <w:sz w:val="20"/>
          <w:szCs w:val="20"/>
          <w:vertAlign w:val="superscript"/>
          <w:lang w:eastAsia="ru-RU"/>
        </w:rPr>
        <w:t>®</w:t>
      </w:r>
      <w:r w:rsidRPr="006926EB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 принимают</w:t>
      </w:r>
      <w:proofErr w:type="gramEnd"/>
      <w:r w:rsidRPr="006926EB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 внутрь, независимо от приема пищи.</w:t>
      </w:r>
    </w:p>
    <w:p w14:paraId="0332CE2E" w14:textId="77777777" w:rsidR="006926EB" w:rsidRPr="006926EB" w:rsidRDefault="006926EB" w:rsidP="006926EB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6926EB">
        <w:rPr>
          <w:rFonts w:ascii="Arial" w:eastAsia="Times New Roman" w:hAnsi="Arial" w:cs="Arial"/>
          <w:color w:val="333333"/>
          <w:kern w:val="0"/>
          <w:sz w:val="20"/>
          <w:szCs w:val="20"/>
          <w:u w:val="single"/>
          <w:lang w:eastAsia="ru-RU"/>
          <w14:ligatures w14:val="none"/>
        </w:rPr>
        <w:t>Перед применением взбалтывать</w:t>
      </w:r>
      <w:r w:rsidRPr="006926EB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.</w:t>
      </w:r>
    </w:p>
    <w:p w14:paraId="4F1C7335" w14:textId="77777777" w:rsidR="006926EB" w:rsidRDefault="006926EB" w:rsidP="006926EB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6926EB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Необходимую дозу отмеряют при помощи флакона с дозирующим капельным устройством. Флакон следует держать вертикально при дозировании препарата. При необходимости (например, чтобы смягчить горький вкус для детей) препарат можно запить небольшим количеством воды (например, 1 стакан). Во время лечения препаратом рекомендуется достаточное потребление жидкости.</w:t>
      </w:r>
    </w:p>
    <w:p w14:paraId="5F88F172" w14:textId="77777777" w:rsidR="00957C41" w:rsidRPr="006926EB" w:rsidRDefault="00957C41" w:rsidP="006926EB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0B480B85" w14:textId="77777777" w:rsidR="00BB752E" w:rsidRPr="00C70CE3" w:rsidRDefault="00BB752E" w:rsidP="00BB752E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Побочное действие</w:t>
      </w:r>
    </w:p>
    <w:p w14:paraId="65EEA7D5" w14:textId="77777777" w:rsidR="00BB752E" w:rsidRPr="00C70CE3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Со стороны ЖКТ: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часто - тошнота, рвота, диарея.</w:t>
      </w:r>
    </w:p>
    <w:p w14:paraId="0FA99144" w14:textId="77777777" w:rsidR="00BB752E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Со стороны иммунной системы: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частота неизвестна - аллергические реакции. При появлении первых признаков аллергической реакции следует прекратить прием препарата и обратиться к врачу; при появлении побочных эффектов, указанных в инструкции, или их усугублении, или появлении любых других побочных эффектов, не указанных в инструкции, необходимо обратиться к врачу.</w:t>
      </w:r>
    </w:p>
    <w:p w14:paraId="1BA20717" w14:textId="77777777" w:rsidR="00957C41" w:rsidRPr="00C70CE3" w:rsidRDefault="00957C41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77368CFB" w14:textId="77777777" w:rsidR="00BB752E" w:rsidRPr="00C70CE3" w:rsidRDefault="00BB752E" w:rsidP="00BB752E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Противопоказания к применению</w:t>
      </w:r>
    </w:p>
    <w:p w14:paraId="02CB6AA1" w14:textId="77777777" w:rsidR="00BB752E" w:rsidRPr="00C70CE3" w:rsidRDefault="00BB752E" w:rsidP="00BB752E">
      <w:pPr>
        <w:numPr>
          <w:ilvl w:val="0"/>
          <w:numId w:val="2"/>
        </w:numPr>
        <w:spacing w:before="100" w:beforeAutospacing="1" w:after="100" w:afterAutospacing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повышенная чувствительность к активным веществам препарата, к другим растениям семейства зонтичные (например, анис, фенхель), анетолу (компонент эфирных масел), и/или к любому из вспомогательных веществ, входящих в состав препарата;</w:t>
      </w:r>
    </w:p>
    <w:p w14:paraId="50C65643" w14:textId="77777777" w:rsidR="00BB752E" w:rsidRPr="00C70CE3" w:rsidRDefault="00BB752E" w:rsidP="00BB752E">
      <w:pPr>
        <w:numPr>
          <w:ilvl w:val="0"/>
          <w:numId w:val="2"/>
        </w:numPr>
        <w:spacing w:before="100" w:beforeAutospacing="1" w:after="100" w:afterAutospacing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заболевания желудочно-кишечного тракта в фазе обострения (в т.ч. гастрит, язвенная болезнь желудка).</w:t>
      </w:r>
    </w:p>
    <w:p w14:paraId="63E835E3" w14:textId="77777777" w:rsidR="00BB752E" w:rsidRPr="00C70CE3" w:rsidRDefault="00BB752E" w:rsidP="00BB752E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Применение при беременности и кормлении грудью</w:t>
      </w:r>
    </w:p>
    <w:p w14:paraId="5E68255F" w14:textId="77777777" w:rsidR="00BB752E" w:rsidRPr="00C70CE3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Беременность</w:t>
      </w:r>
    </w:p>
    <w:p w14:paraId="5C6E9A88" w14:textId="77777777" w:rsidR="00BB752E" w:rsidRPr="00C70CE3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Применение препарата во время беременности возможно только по назначению врача, в случае если предполагаемая польза для матери превышает потенциальный риск для плода и ребенка.</w:t>
      </w:r>
    </w:p>
    <w:p w14:paraId="1A2B3843" w14:textId="77777777" w:rsidR="00BB752E" w:rsidRPr="00C70CE3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Период грудного вскармливания</w:t>
      </w:r>
    </w:p>
    <w:p w14:paraId="071A288D" w14:textId="77777777" w:rsidR="00BB752E" w:rsidRPr="00C70CE3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Применение препарата в период грудного вскармливания возможно только по назначению врача, в случае если предполагаемая польза для матери превышает потенциальный риск для ребенка.</w:t>
      </w:r>
    </w:p>
    <w:p w14:paraId="11926445" w14:textId="77777777" w:rsidR="00BB752E" w:rsidRPr="00C70CE3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Фертильность</w:t>
      </w:r>
    </w:p>
    <w:p w14:paraId="381D63A3" w14:textId="77777777" w:rsidR="00BB752E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Данные о влиянии препарата </w:t>
      </w:r>
      <w:proofErr w:type="spellStart"/>
      <w:r w:rsidRPr="00553984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>Медирен</w:t>
      </w:r>
      <w:proofErr w:type="spellEnd"/>
      <w:r w:rsidRPr="00553984">
        <w:rPr>
          <w:rFonts w:ascii="Arial" w:eastAsia="Times New Roman" w:hAnsi="Arial" w:cs="Arial"/>
          <w:color w:val="2E3F51"/>
          <w:kern w:val="0"/>
          <w:sz w:val="20"/>
          <w:szCs w:val="20"/>
          <w:vertAlign w:val="superscript"/>
          <w:lang w:eastAsia="ru-RU"/>
          <w14:ligatures w14:val="none"/>
        </w:rPr>
        <w:t>®</w:t>
      </w:r>
      <w:r>
        <w:rPr>
          <w:rFonts w:ascii="Arial" w:eastAsia="Times New Roman" w:hAnsi="Arial" w:cs="Arial"/>
          <w:color w:val="2E3F51"/>
          <w:kern w:val="0"/>
          <w:sz w:val="20"/>
          <w:szCs w:val="20"/>
          <w:vertAlign w:val="superscript"/>
          <w:lang w:eastAsia="ru-RU"/>
          <w14:ligatures w14:val="none"/>
        </w:rPr>
        <w:t xml:space="preserve"> 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на фертильность у людей отсутствуют.</w:t>
      </w:r>
    </w:p>
    <w:p w14:paraId="55526868" w14:textId="77777777" w:rsidR="00957C41" w:rsidRPr="00C70CE3" w:rsidRDefault="00957C41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58097EE4" w14:textId="77777777" w:rsidR="002F318F" w:rsidRPr="002F318F" w:rsidRDefault="002F318F" w:rsidP="002F318F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2F318F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Применение у детей</w:t>
      </w:r>
    </w:p>
    <w:p w14:paraId="7F55CC3D" w14:textId="77777777" w:rsidR="002F318F" w:rsidRPr="002F318F" w:rsidRDefault="002F318F" w:rsidP="002F318F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2F318F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Противопоказано применение препарата в детском возрасте до 1 года.</w:t>
      </w:r>
    </w:p>
    <w:p w14:paraId="19893114" w14:textId="77777777" w:rsidR="002F318F" w:rsidRDefault="002F318F" w:rsidP="002F318F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2F318F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С осторожностью следует назначать препарат детям старше 1 года (применение возможно только после консультации с врачом) – в связи с содержанием этанола.</w:t>
      </w:r>
    </w:p>
    <w:p w14:paraId="391C1991" w14:textId="77777777" w:rsidR="00957C41" w:rsidRPr="002F318F" w:rsidRDefault="00957C41" w:rsidP="002F318F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3172FA1B" w14:textId="77777777" w:rsidR="00BB752E" w:rsidRPr="00C70CE3" w:rsidRDefault="00BB752E" w:rsidP="00BB752E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Особые указания</w:t>
      </w:r>
    </w:p>
    <w:p w14:paraId="32122DDE" w14:textId="77777777" w:rsidR="007651C9" w:rsidRDefault="007651C9" w:rsidP="007651C9">
      <w:pPr>
        <w:pStyle w:val="ac"/>
        <w:spacing w:before="75" w:beforeAutospacing="0" w:after="75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Если симптомы заболевания сохраняются, ухудшаются, повторяются периодически или появляются новые симптомы, необходимо обратиться за консультацией к врачу. Необходимо проинформировать пациента, что в случае воспалительных заболеваний почек, появления </w:t>
      </w:r>
      <w:r>
        <w:rPr>
          <w:rFonts w:ascii="Arial" w:hAnsi="Arial" w:cs="Arial"/>
          <w:color w:val="333333"/>
          <w:sz w:val="20"/>
          <w:szCs w:val="20"/>
        </w:rPr>
        <w:lastRenderedPageBreak/>
        <w:t>лихорадки, спазмов, крови в моче, нарушения мочеиспускания, острой задержки мочи, болей при мочеиспускании необходимо обратиться к врачу.</w:t>
      </w:r>
    </w:p>
    <w:p w14:paraId="7E767037" w14:textId="77777777" w:rsidR="007651C9" w:rsidRDefault="007651C9" w:rsidP="007651C9">
      <w:pPr>
        <w:pStyle w:val="ac"/>
        <w:spacing w:before="75" w:beforeAutospacing="0" w:after="75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При отеках, вызванных нарушениями функции сердца или почек, потребление большого количества жидкости противопоказано.</w:t>
      </w:r>
    </w:p>
    <w:p w14:paraId="20BBF4A1" w14:textId="77777777" w:rsidR="007651C9" w:rsidRDefault="007651C9" w:rsidP="007651C9">
      <w:pPr>
        <w:pStyle w:val="ac"/>
        <w:spacing w:before="75" w:beforeAutospacing="0" w:after="75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В процессе хранения возможна опалесценция и образование небольшого осадка, что не влияет на качество и эффективность препарата.</w:t>
      </w:r>
    </w:p>
    <w:p w14:paraId="65A487B2" w14:textId="77777777" w:rsidR="007651C9" w:rsidRDefault="007651C9" w:rsidP="007651C9">
      <w:pPr>
        <w:pStyle w:val="ac"/>
        <w:spacing w:before="75" w:beforeAutospacing="0" w:after="75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i/>
          <w:iCs/>
          <w:color w:val="333333"/>
          <w:sz w:val="20"/>
          <w:szCs w:val="20"/>
        </w:rPr>
        <w:t>Вспомогательные вещества</w:t>
      </w:r>
    </w:p>
    <w:p w14:paraId="73F6B53E" w14:textId="766E14FE" w:rsidR="007651C9" w:rsidRDefault="007651C9" w:rsidP="007651C9">
      <w:pPr>
        <w:pStyle w:val="ac"/>
        <w:spacing w:before="75" w:beforeAutospacing="0" w:after="75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Препарат </w:t>
      </w:r>
      <w:proofErr w:type="spellStart"/>
      <w:r w:rsidR="00E75CB3" w:rsidRPr="00181667">
        <w:rPr>
          <w:rFonts w:ascii="Arial" w:eastAsia="Calibri" w:hAnsi="Arial" w:cs="Arial"/>
          <w:sz w:val="20"/>
          <w:szCs w:val="20"/>
        </w:rPr>
        <w:t>Медирен</w:t>
      </w:r>
      <w:proofErr w:type="spellEnd"/>
      <w:r w:rsidR="00E75CB3" w:rsidRPr="00181667">
        <w:rPr>
          <w:rFonts w:ascii="Arial" w:eastAsia="Calibri" w:hAnsi="Arial" w:cs="Arial"/>
          <w:sz w:val="20"/>
          <w:szCs w:val="20"/>
          <w:vertAlign w:val="superscript"/>
        </w:rPr>
        <w:t>®</w:t>
      </w:r>
      <w:r w:rsidR="00E75CB3" w:rsidRPr="006926EB">
        <w:rPr>
          <w:rFonts w:ascii="Arial" w:hAnsi="Arial" w:cs="Arial"/>
          <w:color w:val="333333"/>
          <w:sz w:val="20"/>
          <w:szCs w:val="20"/>
        </w:rPr>
        <w:t> </w:t>
      </w:r>
      <w:r>
        <w:rPr>
          <w:rFonts w:ascii="Arial" w:hAnsi="Arial" w:cs="Arial"/>
          <w:color w:val="333333"/>
          <w:sz w:val="20"/>
          <w:szCs w:val="20"/>
        </w:rPr>
        <w:t>содержит от 16.0 до 19.5% (в объемном отношении) этанола, т.е., до 500 мг на максимальную разовую дозу (50 капель), что соответствуют 13 мл пива или 5 мл вина и до 150 мг на минимальную разовую дозу (15 капель), что соответствуют 4 мл пива или 2 мл вина. Содержание этанола в максимальной суточной дозе (50 капель 3 раза в день) составляет 1.5 г.</w:t>
      </w:r>
    </w:p>
    <w:p w14:paraId="5A93F5D8" w14:textId="77777777" w:rsidR="007651C9" w:rsidRDefault="007651C9" w:rsidP="007651C9">
      <w:pPr>
        <w:pStyle w:val="ac"/>
        <w:spacing w:before="75" w:beforeAutospacing="0" w:after="75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>Вследствие наличия этанола не рекомендуется назначать препарат при алкоголизме, а также после лечения алкогольной зависимости. Содержание этанола в препарате следует принимать во внимание беременным или кормящим женщинам, детям и группам высокого риска, таким как пациенты с заболеваниями печени и эпилепсией, с заболеваниями и травмами головного мозга.</w:t>
      </w:r>
    </w:p>
    <w:p w14:paraId="794B5614" w14:textId="77777777" w:rsidR="007651C9" w:rsidRDefault="007651C9" w:rsidP="007651C9">
      <w:pPr>
        <w:pStyle w:val="ac"/>
        <w:spacing w:before="75" w:beforeAutospacing="0" w:after="75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i/>
          <w:iCs/>
          <w:color w:val="333333"/>
          <w:sz w:val="20"/>
          <w:szCs w:val="20"/>
        </w:rPr>
        <w:t>Влияние на способность к управлению транспортными средствами и механизмами</w:t>
      </w:r>
    </w:p>
    <w:p w14:paraId="5A322BB5" w14:textId="3A60CA8E" w:rsidR="007651C9" w:rsidRDefault="007651C9" w:rsidP="007651C9">
      <w:pPr>
        <w:pStyle w:val="ac"/>
        <w:spacing w:before="75" w:beforeAutospacing="0" w:after="75" w:afterAutospacing="0"/>
        <w:rPr>
          <w:rFonts w:ascii="Arial" w:hAnsi="Arial" w:cs="Arial"/>
          <w:color w:val="333333"/>
          <w:sz w:val="20"/>
          <w:szCs w:val="20"/>
        </w:rPr>
      </w:pPr>
      <w:r>
        <w:rPr>
          <w:rFonts w:ascii="Arial" w:hAnsi="Arial" w:cs="Arial"/>
          <w:color w:val="333333"/>
          <w:sz w:val="20"/>
          <w:szCs w:val="20"/>
        </w:rPr>
        <w:t xml:space="preserve">При приеме в рекомендуемых дозах препарат </w:t>
      </w:r>
      <w:proofErr w:type="spellStart"/>
      <w:r w:rsidR="00E75CB3" w:rsidRPr="00181667">
        <w:rPr>
          <w:rFonts w:ascii="Arial" w:eastAsia="Calibri" w:hAnsi="Arial" w:cs="Arial"/>
          <w:sz w:val="20"/>
          <w:szCs w:val="20"/>
        </w:rPr>
        <w:t>Медирен</w:t>
      </w:r>
      <w:proofErr w:type="spellEnd"/>
      <w:r w:rsidR="00E75CB3" w:rsidRPr="00181667">
        <w:rPr>
          <w:rFonts w:ascii="Arial" w:eastAsia="Calibri" w:hAnsi="Arial" w:cs="Arial"/>
          <w:sz w:val="20"/>
          <w:szCs w:val="20"/>
          <w:vertAlign w:val="superscript"/>
        </w:rPr>
        <w:t>®</w:t>
      </w:r>
      <w:r w:rsidR="00E75CB3" w:rsidRPr="006926EB">
        <w:rPr>
          <w:rFonts w:ascii="Arial" w:hAnsi="Arial" w:cs="Arial"/>
          <w:color w:val="333333"/>
          <w:sz w:val="20"/>
          <w:szCs w:val="20"/>
        </w:rPr>
        <w:t> </w:t>
      </w:r>
      <w:r>
        <w:rPr>
          <w:rFonts w:ascii="Arial" w:hAnsi="Arial" w:cs="Arial"/>
          <w:color w:val="333333"/>
          <w:sz w:val="20"/>
          <w:szCs w:val="20"/>
        </w:rPr>
        <w:t>не оказывает влияния на способность к выполнению потенциально опасных видов деятельности, требующих повышенной концентрации внимания и быстроты психомоторных реакций (управление транспортными средствами, работа с движущимися механизмами, работа диспетчера, оператора).</w:t>
      </w:r>
    </w:p>
    <w:p w14:paraId="44D38141" w14:textId="77777777" w:rsidR="00957C41" w:rsidRDefault="00957C41" w:rsidP="007651C9">
      <w:pPr>
        <w:pStyle w:val="ac"/>
        <w:spacing w:before="75" w:beforeAutospacing="0" w:after="75" w:afterAutospacing="0"/>
        <w:rPr>
          <w:rFonts w:ascii="Arial" w:hAnsi="Arial" w:cs="Arial"/>
          <w:color w:val="333333"/>
          <w:sz w:val="20"/>
          <w:szCs w:val="20"/>
        </w:rPr>
      </w:pPr>
    </w:p>
    <w:p w14:paraId="1FD352D9" w14:textId="77777777" w:rsidR="00BB752E" w:rsidRPr="00C70CE3" w:rsidRDefault="00BB752E" w:rsidP="00BB752E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Передозировка</w:t>
      </w:r>
    </w:p>
    <w:p w14:paraId="091E078E" w14:textId="77777777" w:rsidR="00BB752E" w:rsidRPr="00C70CE3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При передозировке возможно усиление выраженности дозозависимых нежелательных реакций.</w:t>
      </w:r>
    </w:p>
    <w:p w14:paraId="60149951" w14:textId="77777777" w:rsidR="00BB752E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Лечение: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симптоматическое.</w:t>
      </w:r>
    </w:p>
    <w:p w14:paraId="30EF7F9F" w14:textId="77777777" w:rsidR="00203707" w:rsidRPr="00C70CE3" w:rsidRDefault="00203707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114AA440" w14:textId="77777777" w:rsidR="00BB752E" w:rsidRPr="00C70CE3" w:rsidRDefault="00BB752E" w:rsidP="00BB752E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Лекарственное взаимодействие</w:t>
      </w:r>
    </w:p>
    <w:p w14:paraId="778BED55" w14:textId="77777777" w:rsidR="00BB752E" w:rsidRPr="00C70CE3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Комбинация с антибактериальными средствами возможна и целесообразна.</w:t>
      </w:r>
    </w:p>
    <w:p w14:paraId="4E1CDE06" w14:textId="77777777" w:rsidR="00BB752E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Исследования взаимодействия с другими лекарственными препаратами не проводились.</w:t>
      </w:r>
    </w:p>
    <w:p w14:paraId="62DF0490" w14:textId="77777777" w:rsidR="00203707" w:rsidRPr="00C70CE3" w:rsidRDefault="00203707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447E67AB" w14:textId="77777777" w:rsidR="00BB752E" w:rsidRDefault="00BB752E" w:rsidP="00BB752E">
      <w:pPr>
        <w:spacing w:before="30" w:after="45"/>
        <w:outlineLvl w:val="1"/>
        <w:rPr>
          <w:rFonts w:ascii="Arial" w:eastAsia="Times New Roman" w:hAnsi="Arial" w:cs="Arial"/>
          <w:color w:val="2E3F51"/>
          <w:kern w:val="0"/>
          <w:sz w:val="20"/>
          <w:szCs w:val="20"/>
          <w:vertAlign w:val="superscript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 xml:space="preserve">Условия хранения препарата </w:t>
      </w:r>
    </w:p>
    <w:p w14:paraId="3CAA10D3" w14:textId="54A908F7" w:rsidR="00CC69FB" w:rsidRDefault="004D1F64" w:rsidP="00CC69FB">
      <w:pPr>
        <w:spacing w:before="30" w:after="45"/>
        <w:outlineLvl w:val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>
        <w:rPr>
          <w:rFonts w:ascii="Arial" w:hAnsi="Arial" w:cs="Arial"/>
          <w:color w:val="333333"/>
          <w:sz w:val="20"/>
          <w:szCs w:val="20"/>
        </w:rPr>
        <w:t>Препарат следует хранить в оригинальной упаковке (флаконе) для защиты от света, в недоступном для детей месте.</w:t>
      </w:r>
      <w:r w:rsidR="00CC69FB">
        <w:rPr>
          <w:rFonts w:ascii="Arial" w:hAnsi="Arial" w:cs="Arial"/>
          <w:color w:val="333333"/>
          <w:sz w:val="20"/>
          <w:szCs w:val="20"/>
        </w:rPr>
        <w:t xml:space="preserve"> </w:t>
      </w:r>
      <w:r w:rsidR="00CC69FB"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Препарат следует хранить при температуре не выше </w:t>
      </w:r>
      <w:r w:rsidR="00CC69FB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25</w:t>
      </w:r>
      <w:r w:rsidR="00CC69FB"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°C.</w:t>
      </w:r>
    </w:p>
    <w:p w14:paraId="55DFC4E0" w14:textId="77777777" w:rsidR="00203707" w:rsidRPr="00C70CE3" w:rsidRDefault="00203707" w:rsidP="00CC69FB">
      <w:pPr>
        <w:spacing w:before="30" w:after="45"/>
        <w:outlineLvl w:val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1F2C7166" w14:textId="1ACE670F" w:rsidR="00BB752E" w:rsidRPr="00C70CE3" w:rsidRDefault="00BB752E" w:rsidP="00BB752E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 xml:space="preserve">Срок годности препарата </w:t>
      </w:r>
    </w:p>
    <w:p w14:paraId="54E581B6" w14:textId="7C41EDA6" w:rsidR="004D1F64" w:rsidRPr="004D1F64" w:rsidRDefault="004D1F64" w:rsidP="004D1F64">
      <w:pPr>
        <w:spacing w:after="0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  <w:r w:rsidRPr="004D1F64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Срок годности - </w:t>
      </w:r>
      <w:r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2</w:t>
      </w:r>
      <w:r w:rsidRPr="004D1F64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 года. Не использовать по истечении срока годности, указанного на упаковке.</w:t>
      </w:r>
    </w:p>
    <w:p w14:paraId="03AE0E0B" w14:textId="77777777" w:rsidR="004D1F64" w:rsidRDefault="004D1F64" w:rsidP="004D1F64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4D1F64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Открытый флакон можно использовать в течение 6 месяцев.</w:t>
      </w:r>
    </w:p>
    <w:p w14:paraId="3A589CBE" w14:textId="77777777" w:rsidR="00203707" w:rsidRPr="004D1F64" w:rsidRDefault="00203707" w:rsidP="004D1F64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33841DE6" w14:textId="77777777" w:rsidR="00BB752E" w:rsidRPr="00C70CE3" w:rsidRDefault="00BB752E" w:rsidP="00BB752E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Условия реализации</w:t>
      </w:r>
    </w:p>
    <w:p w14:paraId="6E7BD393" w14:textId="77777777" w:rsidR="00BB752E" w:rsidRDefault="00BB752E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Препарат отпускают без рецепта</w:t>
      </w:r>
    </w:p>
    <w:p w14:paraId="3677DFDC" w14:textId="77777777" w:rsidR="00203707" w:rsidRDefault="00203707" w:rsidP="00BB752E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1F709222" w14:textId="77777777" w:rsidR="00BB752E" w:rsidRPr="00C73B80" w:rsidRDefault="00BB752E" w:rsidP="00BB752E">
      <w:pPr>
        <w:spacing w:after="0"/>
        <w:rPr>
          <w:rFonts w:ascii="Arial" w:hAnsi="Arial" w:cs="Arial"/>
          <w:b/>
          <w:sz w:val="23"/>
          <w:szCs w:val="23"/>
        </w:rPr>
      </w:pPr>
      <w:r w:rsidRPr="00C73B80">
        <w:rPr>
          <w:rFonts w:ascii="Arial" w:hAnsi="Arial" w:cs="Arial"/>
          <w:b/>
          <w:sz w:val="23"/>
          <w:szCs w:val="23"/>
        </w:rPr>
        <w:t>Производитель:</w:t>
      </w:r>
    </w:p>
    <w:p w14:paraId="3CA2F333" w14:textId="77777777" w:rsidR="00BB752E" w:rsidRDefault="00BB752E" w:rsidP="00BB752E">
      <w:pPr>
        <w:spacing w:after="0"/>
        <w:rPr>
          <w:rFonts w:ascii="Arial" w:hAnsi="Arial" w:cs="Arial"/>
          <w:sz w:val="20"/>
          <w:szCs w:val="20"/>
        </w:rPr>
      </w:pPr>
      <w:r w:rsidRPr="00C73B80">
        <w:rPr>
          <w:rFonts w:ascii="Arial" w:hAnsi="Arial" w:cs="Arial"/>
          <w:sz w:val="20"/>
          <w:szCs w:val="20"/>
        </w:rPr>
        <w:t>ООО " SPRING PHARMACEUTIC " СП Великобритания.</w:t>
      </w:r>
    </w:p>
    <w:p w14:paraId="6B6B1BF6" w14:textId="77777777" w:rsidR="00203707" w:rsidRPr="00C73B80" w:rsidRDefault="00203707" w:rsidP="00BB752E">
      <w:pPr>
        <w:spacing w:after="0"/>
        <w:rPr>
          <w:rFonts w:ascii="Arial" w:hAnsi="Arial" w:cs="Arial"/>
          <w:sz w:val="20"/>
          <w:szCs w:val="20"/>
        </w:rPr>
      </w:pPr>
    </w:p>
    <w:p w14:paraId="328A1978" w14:textId="77777777" w:rsidR="00BB752E" w:rsidRPr="00C73B80" w:rsidRDefault="00BB752E" w:rsidP="00BB752E">
      <w:pPr>
        <w:spacing w:after="0"/>
        <w:rPr>
          <w:rFonts w:ascii="Arial" w:hAnsi="Arial" w:cs="Arial"/>
          <w:b/>
          <w:sz w:val="23"/>
          <w:szCs w:val="23"/>
        </w:rPr>
      </w:pPr>
      <w:r w:rsidRPr="00C73B80">
        <w:rPr>
          <w:rFonts w:ascii="Arial" w:hAnsi="Arial" w:cs="Arial"/>
          <w:b/>
          <w:sz w:val="23"/>
          <w:szCs w:val="23"/>
        </w:rPr>
        <w:t>Местонахождение производителя и адрес места осуществления деятельности:</w:t>
      </w:r>
    </w:p>
    <w:p w14:paraId="76FFD839" w14:textId="77777777" w:rsidR="00BB752E" w:rsidRPr="00C73B80" w:rsidRDefault="00BB752E" w:rsidP="00BB752E">
      <w:pPr>
        <w:spacing w:after="0"/>
        <w:rPr>
          <w:rFonts w:ascii="Arial" w:hAnsi="Arial" w:cs="Arial"/>
          <w:sz w:val="20"/>
          <w:szCs w:val="20"/>
        </w:rPr>
      </w:pPr>
      <w:proofErr w:type="gramStart"/>
      <w:r w:rsidRPr="00C73B80">
        <w:rPr>
          <w:rFonts w:ascii="Arial" w:hAnsi="Arial" w:cs="Arial"/>
          <w:sz w:val="20"/>
          <w:szCs w:val="20"/>
        </w:rPr>
        <w:t>Республика  Узбекистан</w:t>
      </w:r>
      <w:proofErr w:type="gramEnd"/>
      <w:r w:rsidRPr="00C73B80">
        <w:rPr>
          <w:rFonts w:ascii="Arial" w:hAnsi="Arial" w:cs="Arial"/>
          <w:sz w:val="20"/>
          <w:szCs w:val="20"/>
        </w:rPr>
        <w:t xml:space="preserve"> , Наманганская область, </w:t>
      </w:r>
      <w:proofErr w:type="spellStart"/>
      <w:r w:rsidRPr="00C73B80">
        <w:rPr>
          <w:rFonts w:ascii="Arial" w:hAnsi="Arial" w:cs="Arial"/>
          <w:sz w:val="20"/>
          <w:szCs w:val="20"/>
        </w:rPr>
        <w:t>Касансайский</w:t>
      </w:r>
      <w:proofErr w:type="spellEnd"/>
      <w:r w:rsidRPr="00C73B80">
        <w:rPr>
          <w:rFonts w:ascii="Arial" w:hAnsi="Arial" w:cs="Arial"/>
          <w:sz w:val="20"/>
          <w:szCs w:val="20"/>
        </w:rPr>
        <w:t xml:space="preserve"> район, </w:t>
      </w:r>
      <w:proofErr w:type="spellStart"/>
      <w:r w:rsidRPr="00C73B80">
        <w:rPr>
          <w:rFonts w:ascii="Arial" w:hAnsi="Arial" w:cs="Arial"/>
          <w:sz w:val="20"/>
          <w:szCs w:val="20"/>
        </w:rPr>
        <w:t>Кукимбой</w:t>
      </w:r>
      <w:proofErr w:type="spellEnd"/>
      <w:r w:rsidRPr="00C73B8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C73B80">
        <w:rPr>
          <w:rFonts w:ascii="Arial" w:hAnsi="Arial" w:cs="Arial"/>
          <w:sz w:val="20"/>
          <w:szCs w:val="20"/>
        </w:rPr>
        <w:t>Навбахор</w:t>
      </w:r>
      <w:proofErr w:type="spellEnd"/>
      <w:r w:rsidRPr="00C73B80">
        <w:rPr>
          <w:rFonts w:ascii="Arial" w:hAnsi="Arial" w:cs="Arial"/>
          <w:sz w:val="20"/>
          <w:szCs w:val="20"/>
        </w:rPr>
        <w:t xml:space="preserve"> МСГ, улица Булак, дом 129.  </w:t>
      </w:r>
    </w:p>
    <w:p w14:paraId="5016F56C" w14:textId="77777777" w:rsidR="00BB752E" w:rsidRPr="00C73B80" w:rsidRDefault="00BB752E" w:rsidP="00BB752E">
      <w:pPr>
        <w:spacing w:after="0"/>
        <w:rPr>
          <w:rFonts w:ascii="Arial" w:hAnsi="Arial" w:cs="Arial"/>
          <w:sz w:val="20"/>
          <w:szCs w:val="20"/>
        </w:rPr>
      </w:pPr>
      <w:proofErr w:type="gramStart"/>
      <w:r w:rsidRPr="00C73B80">
        <w:rPr>
          <w:rFonts w:ascii="Arial" w:hAnsi="Arial" w:cs="Arial"/>
          <w:sz w:val="20"/>
          <w:szCs w:val="20"/>
        </w:rPr>
        <w:t>Тел. :</w:t>
      </w:r>
      <w:proofErr w:type="gramEnd"/>
      <w:r w:rsidRPr="00C73B80">
        <w:rPr>
          <w:rFonts w:ascii="Arial" w:hAnsi="Arial" w:cs="Arial"/>
          <w:sz w:val="20"/>
          <w:szCs w:val="20"/>
        </w:rPr>
        <w:t xml:space="preserve"> +998996942363</w:t>
      </w:r>
    </w:p>
    <w:p w14:paraId="0F15FD87" w14:textId="77777777" w:rsidR="00F12C76" w:rsidRDefault="00F12C76" w:rsidP="006C0B77">
      <w:pPr>
        <w:spacing w:after="0"/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C7060"/>
    <w:multiLevelType w:val="multilevel"/>
    <w:tmpl w:val="CCA4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5A5817"/>
    <w:multiLevelType w:val="multilevel"/>
    <w:tmpl w:val="6F049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008552">
    <w:abstractNumId w:val="1"/>
  </w:num>
  <w:num w:numId="2" w16cid:durableId="988021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F35"/>
    <w:rsid w:val="000010A0"/>
    <w:rsid w:val="00007A46"/>
    <w:rsid w:val="00181667"/>
    <w:rsid w:val="00203707"/>
    <w:rsid w:val="002477CE"/>
    <w:rsid w:val="002C6A2D"/>
    <w:rsid w:val="002F318F"/>
    <w:rsid w:val="004263E3"/>
    <w:rsid w:val="00450D89"/>
    <w:rsid w:val="004D1F64"/>
    <w:rsid w:val="00594805"/>
    <w:rsid w:val="005E570C"/>
    <w:rsid w:val="00686B56"/>
    <w:rsid w:val="006926EB"/>
    <w:rsid w:val="006C0B77"/>
    <w:rsid w:val="00742AB9"/>
    <w:rsid w:val="007651C9"/>
    <w:rsid w:val="007B50E5"/>
    <w:rsid w:val="008036A6"/>
    <w:rsid w:val="008049E4"/>
    <w:rsid w:val="008242FF"/>
    <w:rsid w:val="00870751"/>
    <w:rsid w:val="00922C48"/>
    <w:rsid w:val="0095489E"/>
    <w:rsid w:val="00957C41"/>
    <w:rsid w:val="00991968"/>
    <w:rsid w:val="00991A13"/>
    <w:rsid w:val="00AB2F35"/>
    <w:rsid w:val="00B0313F"/>
    <w:rsid w:val="00B915B7"/>
    <w:rsid w:val="00BB752E"/>
    <w:rsid w:val="00CC69FB"/>
    <w:rsid w:val="00E75CB3"/>
    <w:rsid w:val="00EA59DF"/>
    <w:rsid w:val="00EE4070"/>
    <w:rsid w:val="00F12C76"/>
    <w:rsid w:val="00F22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A3096"/>
  <w15:chartTrackingRefBased/>
  <w15:docId w15:val="{A1E66DAE-6644-4728-9312-765728DEA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752E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B2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2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2F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2F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2F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2F3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2F3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2F3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2F3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2F3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B2F3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B2F3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B2F35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B2F35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B2F3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B2F3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B2F3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B2F3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AB2F3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B2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2F3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B2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B2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B2F3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AB2F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B2F35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B2F3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B2F35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AB2F35"/>
    <w:rPr>
      <w:b/>
      <w:bCs/>
      <w:smallCaps/>
      <w:color w:val="2E74B5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7651C9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vidal.ru/drugs/pharm-group/1758" TargetMode="External"/><Relationship Id="rId5" Type="http://schemas.openxmlformats.org/officeDocument/2006/relationships/hyperlink" Target="https://www.vidal.ru/drugs/clinic-group/79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1095</Words>
  <Characters>6244</Characters>
  <Application>Microsoft Office Word</Application>
  <DocSecurity>0</DocSecurity>
  <Lines>52</Lines>
  <Paragraphs>14</Paragraphs>
  <ScaleCrop>false</ScaleCrop>
  <Company/>
  <LinksUpToDate>false</LinksUpToDate>
  <CharactersWithSpaces>7325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Hi-TECH</dc:creator>
  <cp:keywords/>
  <dc:description/>
  <cp:lastModifiedBy>Hi-TECH</cp:lastModifiedBy>
  <cp:revision>51</cp:revision>
  <dcterms:created xsi:type="dcterms:W3CDTF">2026-01-27T15:52:00Z</dcterms:created>
  <dcterms:modified xsi:type="dcterms:W3CDTF">2026-01-28T13:27:00Z</dcterms:modified>
</cp:coreProperties>
</file>