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62D8F" w14:textId="4875D990" w:rsidR="004135F4" w:rsidRPr="00DC2B2E" w:rsidRDefault="004135F4" w:rsidP="004135F4">
      <w:pPr>
        <w:spacing w:after="0"/>
        <w:rPr>
          <w:rFonts w:ascii="Arial" w:eastAsia="Calibri" w:hAnsi="Arial" w:cs="Arial"/>
          <w:b/>
          <w:bCs/>
          <w:color w:val="1F3864" w:themeColor="accent5" w:themeShade="80"/>
          <w:sz w:val="23"/>
          <w:szCs w:val="23"/>
          <w:lang w:eastAsia="ru-RU"/>
        </w:rPr>
      </w:pPr>
      <w:r w:rsidRPr="00DC2B2E">
        <w:rPr>
          <w:rFonts w:ascii="Arial" w:eastAsia="Calibri" w:hAnsi="Arial" w:cs="Arial"/>
          <w:b/>
          <w:bCs/>
          <w:color w:val="1F3864" w:themeColor="accent5" w:themeShade="80"/>
          <w:sz w:val="23"/>
          <w:szCs w:val="23"/>
          <w:lang w:eastAsia="ru-RU"/>
        </w:rPr>
        <w:t>ИНСТРУКЦИЯ ПО МЕДИЦИНСКОМУ ПРИМЕНЕНИЮ</w:t>
      </w:r>
    </w:p>
    <w:p w14:paraId="0C3CC392" w14:textId="48459F61" w:rsidR="004135F4" w:rsidRPr="00DC2B2E" w:rsidRDefault="004135F4" w:rsidP="004135F4">
      <w:pPr>
        <w:spacing w:after="0"/>
        <w:rPr>
          <w:rFonts w:ascii="Arial" w:eastAsia="Calibri" w:hAnsi="Arial" w:cs="Arial"/>
          <w:b/>
          <w:color w:val="1F3864" w:themeColor="accent5" w:themeShade="80"/>
          <w:sz w:val="23"/>
          <w:szCs w:val="23"/>
          <w:lang w:eastAsia="ru-RU"/>
        </w:rPr>
      </w:pPr>
      <w:proofErr w:type="spellStart"/>
      <w:r w:rsidRPr="00DC2B2E"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lang w:eastAsia="ru-RU"/>
        </w:rPr>
        <w:t>Медирен</w:t>
      </w:r>
      <w:proofErr w:type="spellEnd"/>
      <w:r w:rsidRPr="00DC2B2E"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vertAlign w:val="superscript"/>
          <w:lang w:eastAsia="ru-RU"/>
        </w:rPr>
        <w:t>®</w:t>
      </w:r>
      <w:r w:rsidRPr="00DC2B2E"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lang w:eastAsia="ru-RU"/>
        </w:rPr>
        <w:t xml:space="preserve"> </w:t>
      </w:r>
      <w:r w:rsidRPr="00DC2B2E">
        <w:rPr>
          <w:rFonts w:ascii="Arial" w:eastAsia="Calibri" w:hAnsi="Arial" w:cs="Arial"/>
          <w:b/>
          <w:color w:val="1F3864" w:themeColor="accent5" w:themeShade="80"/>
          <w:sz w:val="23"/>
          <w:szCs w:val="23"/>
          <w:lang w:eastAsia="ru-RU"/>
        </w:rPr>
        <w:t>таблетки №30</w:t>
      </w:r>
    </w:p>
    <w:p w14:paraId="1EB714B3" w14:textId="77777777" w:rsidR="004135F4" w:rsidRPr="00DC2B2E" w:rsidRDefault="004135F4" w:rsidP="0035634F">
      <w:pPr>
        <w:spacing w:after="0"/>
        <w:rPr>
          <w:rFonts w:ascii="Arial" w:eastAsia="Calibri" w:hAnsi="Arial" w:cs="Arial"/>
          <w:b/>
          <w:color w:val="1F3864" w:themeColor="accent5" w:themeShade="80"/>
          <w:sz w:val="23"/>
          <w:szCs w:val="23"/>
          <w:lang w:eastAsia="ru-RU"/>
        </w:rPr>
      </w:pPr>
    </w:p>
    <w:p w14:paraId="6A945BAC" w14:textId="7278C8AA" w:rsidR="0035634F" w:rsidRPr="00DC2B2E" w:rsidRDefault="0035634F" w:rsidP="0035634F">
      <w:pPr>
        <w:spacing w:after="0"/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lang w:eastAsia="ru-RU"/>
        </w:rPr>
      </w:pPr>
      <w:r w:rsidRPr="00DC2B2E">
        <w:rPr>
          <w:rFonts w:ascii="Arial" w:eastAsia="Calibri" w:hAnsi="Arial" w:cs="Arial"/>
          <w:b/>
          <w:color w:val="1F3864" w:themeColor="accent5" w:themeShade="80"/>
          <w:sz w:val="23"/>
          <w:szCs w:val="23"/>
          <w:lang w:eastAsia="ru-RU"/>
        </w:rPr>
        <w:t xml:space="preserve">Торговое </w:t>
      </w:r>
      <w:proofErr w:type="gramStart"/>
      <w:r w:rsidRPr="00DC2B2E">
        <w:rPr>
          <w:rFonts w:ascii="Arial" w:eastAsia="Calibri" w:hAnsi="Arial" w:cs="Arial"/>
          <w:b/>
          <w:color w:val="1F3864" w:themeColor="accent5" w:themeShade="80"/>
          <w:sz w:val="23"/>
          <w:szCs w:val="23"/>
          <w:lang w:eastAsia="ru-RU"/>
        </w:rPr>
        <w:t>название:</w:t>
      </w:r>
      <w:r w:rsidRPr="00DC2B2E">
        <w:rPr>
          <w:rFonts w:ascii="Arial" w:eastAsia="Calibri" w:hAnsi="Arial" w:cs="Arial"/>
          <w:b/>
          <w:color w:val="1F3864" w:themeColor="accent5" w:themeShade="80"/>
          <w:sz w:val="20"/>
          <w:szCs w:val="20"/>
          <w:lang w:eastAsia="ru-RU"/>
        </w:rPr>
        <w:t xml:space="preserve">   </w:t>
      </w:r>
      <w:proofErr w:type="spellStart"/>
      <w:proofErr w:type="gramEnd"/>
      <w:r w:rsidRPr="00DC2B2E"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lang w:eastAsia="ru-RU"/>
        </w:rPr>
        <w:t>Медирен</w:t>
      </w:r>
      <w:proofErr w:type="spellEnd"/>
      <w:r w:rsidRPr="00DC2B2E"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vertAlign w:val="superscript"/>
          <w:lang w:eastAsia="ru-RU"/>
        </w:rPr>
        <w:t>®</w:t>
      </w:r>
      <w:r w:rsidRPr="00DC2B2E">
        <w:rPr>
          <w:rFonts w:ascii="Arial" w:eastAsia="Calibri" w:hAnsi="Arial" w:cs="Arial"/>
          <w:b/>
          <w:bCs/>
          <w:color w:val="1F3864" w:themeColor="accent5" w:themeShade="80"/>
          <w:sz w:val="24"/>
          <w:szCs w:val="24"/>
          <w:lang w:eastAsia="ru-RU"/>
        </w:rPr>
        <w:t xml:space="preserve"> </w:t>
      </w:r>
    </w:p>
    <w:p w14:paraId="333DF2B2" w14:textId="77777777" w:rsidR="0035634F" w:rsidRDefault="0035634F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</w:p>
    <w:p w14:paraId="0954F679" w14:textId="12669F32" w:rsidR="0035634F" w:rsidRDefault="00C70CE3" w:rsidP="0035634F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Форма выпуска, упаковка</w:t>
      </w:r>
      <w:r w:rsidR="0035634F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:</w:t>
      </w: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 </w:t>
      </w:r>
      <w:r w:rsidRPr="0035634F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Таблетки, покрытые оболочкой</w:t>
      </w: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,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оранжевые, круглые, двояковыпуклые, с гладкой поверхностью.</w:t>
      </w:r>
      <w:r w:rsidR="0035634F" w:rsidRPr="0035634F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 </w:t>
      </w:r>
    </w:p>
    <w:p w14:paraId="40622A62" w14:textId="77777777" w:rsidR="00541F84" w:rsidRDefault="00541F84" w:rsidP="0035634F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</w:p>
    <w:p w14:paraId="0D300A6A" w14:textId="24B5737E" w:rsidR="0035634F" w:rsidRPr="00FB1B33" w:rsidRDefault="0035634F" w:rsidP="0035634F">
      <w:pPr>
        <w:spacing w:after="0"/>
        <w:rPr>
          <w:i/>
        </w:rPr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С</w:t>
      </w: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остав препарата</w:t>
      </w: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: 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8"/>
        <w:gridCol w:w="990"/>
      </w:tblGrid>
      <w:tr w:rsidR="00C70CE3" w:rsidRPr="00C70CE3" w14:paraId="43210D49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1B2E03D" w14:textId="601C7A5E" w:rsidR="00C70CE3" w:rsidRPr="00541F84" w:rsidRDefault="0035634F" w:rsidP="00C70CE3">
            <w:pPr>
              <w:spacing w:after="0"/>
              <w:rPr>
                <w:rFonts w:eastAsia="Times New Roman" w:cs="Times New Roman"/>
                <w:color w:val="333333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cs="Times New Roman"/>
                <w:i/>
                <w:sz w:val="22"/>
              </w:rPr>
              <w:t>Активные компоненты: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6512C66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b/>
                <w:bCs/>
                <w:kern w:val="0"/>
                <w:sz w:val="22"/>
                <w:lang w:eastAsia="ru-RU"/>
                <w14:ligatures w14:val="none"/>
              </w:rPr>
              <w:t>1 таб.</w:t>
            </w:r>
          </w:p>
        </w:tc>
      </w:tr>
      <w:tr w:rsidR="00C70CE3" w:rsidRPr="00C70CE3" w14:paraId="49DCAB5E" w14:textId="77777777">
        <w:tc>
          <w:tcPr>
            <w:tcW w:w="0" w:type="auto"/>
            <w:gridSpan w:val="2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6078741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измельченное лекарственное растительное сырье (порошок):</w:t>
            </w:r>
          </w:p>
        </w:tc>
      </w:tr>
      <w:tr w:rsidR="00C70CE3" w:rsidRPr="00C70CE3" w14:paraId="047C5000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31A71E6D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золототысячника трава (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Centaurii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herba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7346F6F0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18 мг</w:t>
            </w:r>
          </w:p>
        </w:tc>
      </w:tr>
      <w:tr w:rsidR="00C70CE3" w:rsidRPr="00C70CE3" w14:paraId="218CE1D9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3015B863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любистока лекарственного корни (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Levistici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officinalis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radices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4C4F8422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18 мг</w:t>
            </w:r>
          </w:p>
        </w:tc>
      </w:tr>
      <w:tr w:rsidR="00C70CE3" w:rsidRPr="00C70CE3" w14:paraId="58DCD6CC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34C0FEF9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розмарина обыкновенного листья (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Rosmarini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officinalis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 xml:space="preserve"> </w:t>
            </w:r>
            <w:proofErr w:type="spellStart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folia</w:t>
            </w:r>
            <w:proofErr w:type="spellEnd"/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B0278B0" w14:textId="77777777" w:rsidR="00C70CE3" w:rsidRPr="00541F84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541F84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18 мг</w:t>
            </w:r>
          </w:p>
        </w:tc>
      </w:tr>
    </w:tbl>
    <w:p w14:paraId="2B292874" w14:textId="28661F77" w:rsidR="00C70CE3" w:rsidRPr="00C70CE3" w:rsidRDefault="00C70CE3" w:rsidP="00C70CE3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Вспомогательные вещества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: воск горный гликолевый, глюкоза жидкая, декстрин, кальция карбонат, касторовое масло нерафинированное, крахмал кукурузный, кремния диоксид коллоидный безводный, лактозы моногидрат, магния </w:t>
      </w:r>
      <w:proofErr w:type="spellStart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стеарат</w:t>
      </w:r>
      <w:proofErr w:type="spellEnd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, </w:t>
      </w:r>
      <w:proofErr w:type="spellStart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повидон</w:t>
      </w:r>
      <w:proofErr w:type="spellEnd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K30, рибофлавин (E101)</w:t>
      </w:r>
      <w:r w:rsidR="009B12AC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.</w:t>
      </w:r>
    </w:p>
    <w:p w14:paraId="6501A389" w14:textId="007E5B13" w:rsidR="00C70CE3" w:rsidRPr="00C70CE3" w:rsidRDefault="00C70CE3" w:rsidP="00C70CE3">
      <w:pPr>
        <w:spacing w:before="150" w:after="15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20 шт. - блистеры (3) - пачки картонные.</w:t>
      </w:r>
    </w:p>
    <w:p w14:paraId="0AEB9DDB" w14:textId="7ED8EE5B" w:rsidR="00C70CE3" w:rsidRDefault="00CC1263" w:rsidP="00C70CE3">
      <w:pPr>
        <w:spacing w:after="0"/>
        <w:rPr>
          <w:color w:val="ED7D31" w:themeColor="accent2"/>
        </w:rPr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Г</w:t>
      </w:r>
      <w:r w:rsidR="00C70CE3"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руппа:</w:t>
      </w:r>
      <w:r w:rsidR="00C70CE3" w:rsidRPr="00C70CE3">
        <w:rPr>
          <w:rFonts w:ascii="Arial" w:eastAsia="Times New Roman" w:hAnsi="Arial" w:cs="Arial"/>
          <w:color w:val="333333"/>
          <w:kern w:val="0"/>
          <w:sz w:val="21"/>
          <w:szCs w:val="21"/>
          <w:lang w:eastAsia="ru-RU"/>
          <w14:ligatures w14:val="none"/>
        </w:rPr>
        <w:t> </w:t>
      </w:r>
      <w:hyperlink r:id="rId5" w:history="1">
        <w:r w:rsidR="00C70CE3" w:rsidRPr="00541F84">
          <w:rPr>
            <w:rFonts w:ascii="Arial" w:eastAsia="Times New Roman" w:hAnsi="Arial" w:cs="Arial"/>
            <w:color w:val="ED7D31" w:themeColor="accent2"/>
            <w:kern w:val="0"/>
            <w:sz w:val="21"/>
            <w:szCs w:val="21"/>
            <w:lang w:eastAsia="ru-RU"/>
            <w14:ligatures w14:val="none"/>
          </w:rPr>
          <w:t>Фитопрепарат, применяемый при заболеваниях почек и мочевыводящих путей</w:t>
        </w:r>
      </w:hyperlink>
    </w:p>
    <w:p w14:paraId="28015377" w14:textId="77777777" w:rsidR="00541F84" w:rsidRPr="00541F84" w:rsidRDefault="00541F84" w:rsidP="00C70CE3">
      <w:pPr>
        <w:spacing w:after="0"/>
        <w:rPr>
          <w:rFonts w:ascii="Arial" w:eastAsia="Times New Roman" w:hAnsi="Arial" w:cs="Arial"/>
          <w:color w:val="ED7D31" w:themeColor="accent2"/>
          <w:kern w:val="0"/>
          <w:sz w:val="21"/>
          <w:szCs w:val="21"/>
          <w:lang w:eastAsia="ru-RU"/>
          <w14:ligatures w14:val="none"/>
        </w:rPr>
      </w:pPr>
    </w:p>
    <w:p w14:paraId="0C13A14B" w14:textId="07337450" w:rsidR="00C70CE3" w:rsidRDefault="00CC1263" w:rsidP="00C70CE3">
      <w:pPr>
        <w:spacing w:after="0"/>
        <w:rPr>
          <w:color w:val="ED7D31" w:themeColor="accent2"/>
        </w:rPr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Т</w:t>
      </w:r>
      <w:r w:rsidR="00C70CE3"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ерапевтическая группа:</w:t>
      </w:r>
      <w:r w:rsidR="00C70CE3" w:rsidRPr="00C70CE3">
        <w:rPr>
          <w:rFonts w:ascii="Arial" w:eastAsia="Times New Roman" w:hAnsi="Arial" w:cs="Arial"/>
          <w:color w:val="333333"/>
          <w:kern w:val="0"/>
          <w:sz w:val="21"/>
          <w:szCs w:val="21"/>
          <w:lang w:eastAsia="ru-RU"/>
          <w14:ligatures w14:val="none"/>
        </w:rPr>
        <w:t> </w:t>
      </w:r>
      <w:hyperlink r:id="rId6" w:history="1">
        <w:r w:rsidR="00C70CE3" w:rsidRPr="00541F84">
          <w:rPr>
            <w:rFonts w:ascii="Arial" w:eastAsia="Times New Roman" w:hAnsi="Arial" w:cs="Arial"/>
            <w:color w:val="ED7D31" w:themeColor="accent2"/>
            <w:kern w:val="0"/>
            <w:sz w:val="21"/>
            <w:szCs w:val="21"/>
            <w:lang w:eastAsia="ru-RU"/>
            <w14:ligatures w14:val="none"/>
          </w:rPr>
          <w:t>Средства, применяемые в урологии; другие средства, применяемые в урологии</w:t>
        </w:r>
      </w:hyperlink>
    </w:p>
    <w:p w14:paraId="65222FE3" w14:textId="77777777" w:rsidR="00541F84" w:rsidRPr="00541F84" w:rsidRDefault="00541F84" w:rsidP="00C70CE3">
      <w:pPr>
        <w:spacing w:after="0"/>
        <w:rPr>
          <w:rFonts w:ascii="Arial" w:eastAsia="Times New Roman" w:hAnsi="Arial" w:cs="Arial"/>
          <w:color w:val="ED7D31" w:themeColor="accent2"/>
          <w:kern w:val="0"/>
          <w:sz w:val="21"/>
          <w:szCs w:val="21"/>
          <w:lang w:eastAsia="ru-RU"/>
          <w14:ligatures w14:val="none"/>
        </w:rPr>
      </w:pPr>
    </w:p>
    <w:p w14:paraId="681F7FB4" w14:textId="598460AD" w:rsidR="00C70CE3" w:rsidRDefault="00CC126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Д</w:t>
      </w:r>
      <w:r w:rsidR="00C70CE3"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ействие</w:t>
      </w:r>
    </w:p>
    <w:p w14:paraId="41ACCC84" w14:textId="0617565C" w:rsidR="00B52A41" w:rsidRPr="00B52A41" w:rsidRDefault="00B52A41" w:rsidP="00C70CE3">
      <w:pPr>
        <w:spacing w:before="30" w:after="45"/>
        <w:outlineLvl w:val="1"/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</w:pPr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Механизм действия и свойства </w:t>
      </w:r>
      <w:proofErr w:type="spellStart"/>
      <w:r w:rsidRPr="00B52A41">
        <w:rPr>
          <w:rFonts w:ascii="Arial" w:eastAsia="Calibri" w:hAnsi="Arial" w:cs="Arial"/>
          <w:sz w:val="20"/>
          <w:szCs w:val="20"/>
          <w:lang w:eastAsia="ru-RU"/>
        </w:rPr>
        <w:t>Медирен</w:t>
      </w:r>
      <w:proofErr w:type="spellEnd"/>
      <w:r w:rsidRPr="00B52A41">
        <w:rPr>
          <w:rFonts w:ascii="Arial" w:eastAsia="Calibri" w:hAnsi="Arial" w:cs="Arial"/>
          <w:sz w:val="20"/>
          <w:szCs w:val="20"/>
          <w:vertAlign w:val="superscript"/>
          <w:lang w:eastAsia="ru-RU"/>
        </w:rPr>
        <w:t>®</w:t>
      </w:r>
      <w:r w:rsidRPr="00B52A41">
        <w:rPr>
          <w:rFonts w:ascii="Arial" w:eastAsia="Calibri" w:hAnsi="Arial" w:cs="Arial"/>
          <w:sz w:val="20"/>
          <w:szCs w:val="20"/>
          <w:lang w:eastAsia="ru-RU"/>
        </w:rPr>
        <w:t xml:space="preserve"> </w:t>
      </w:r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таблеток, </w:t>
      </w:r>
      <w:proofErr w:type="gramStart"/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соответствует </w:t>
      </w:r>
      <w:r w:rsidR="006E0AB3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 совокупно</w:t>
      </w:r>
      <w:proofErr w:type="gramEnd"/>
      <w:r w:rsidR="006E0AB3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proofErr w:type="gramStart"/>
      <w:r w:rsidR="006E0AB3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указанным,</w:t>
      </w:r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аналогичным</w:t>
      </w:r>
      <w:proofErr w:type="spellEnd"/>
      <w:proofErr w:type="gramEnd"/>
      <w:r w:rsidRPr="00B52A41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 xml:space="preserve"> действующим веществам, указанным информацией справочника Видаль</w:t>
      </w:r>
    </w:p>
    <w:p w14:paraId="2C71EE3F" w14:textId="77777777" w:rsidR="002D56A0" w:rsidRDefault="00C70CE3" w:rsidP="00AB0577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B52A41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Комбинированный препарат растительного происхождения, оказывает мочегонное, спазмолитическое, противовоспалительное, противомикробное действие.</w:t>
      </w:r>
    </w:p>
    <w:p w14:paraId="0E4CD3EA" w14:textId="072B8AA1" w:rsidR="00C70CE3" w:rsidRPr="00C70CE3" w:rsidRDefault="00C70CE3" w:rsidP="00AB0577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B52A41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</w:t>
      </w:r>
    </w:p>
    <w:p w14:paraId="3109DC39" w14:textId="77777777" w:rsidR="00F75DAB" w:rsidRDefault="00C70CE3" w:rsidP="00F75DAB">
      <w:pPr>
        <w:spacing w:before="30" w:after="45"/>
        <w:outlineLvl w:val="1"/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Показания препарата </w:t>
      </w:r>
      <w:proofErr w:type="spellStart"/>
      <w:r w:rsidR="00F75DAB" w:rsidRPr="00F75DAB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Медирен</w:t>
      </w:r>
      <w:proofErr w:type="spellEnd"/>
      <w:r w:rsidR="00F75DAB" w:rsidRPr="00F75DAB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vertAlign w:val="superscript"/>
          <w:lang w:eastAsia="ru-RU"/>
          <w14:ligatures w14:val="none"/>
        </w:rPr>
        <w:t>®</w:t>
      </w:r>
    </w:p>
    <w:p w14:paraId="26EE8D52" w14:textId="24C83E46" w:rsidR="00C70CE3" w:rsidRPr="00C70CE3" w:rsidRDefault="00C70CE3" w:rsidP="00F75DAB">
      <w:pPr>
        <w:spacing w:before="30" w:after="45"/>
        <w:outlineLvl w:val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Взрослым и детям в возрасте от 6 до 18 лет в комплексной терапии:</w:t>
      </w:r>
    </w:p>
    <w:p w14:paraId="28B05836" w14:textId="77777777" w:rsidR="00C70CE3" w:rsidRPr="00C70CE3" w:rsidRDefault="00C70CE3" w:rsidP="00C70CE3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острых и хронических инфекций мочевого пузыря (цистита);</w:t>
      </w:r>
    </w:p>
    <w:p w14:paraId="1034C5CB" w14:textId="77777777" w:rsidR="00C70CE3" w:rsidRPr="00C70CE3" w:rsidRDefault="00C70CE3" w:rsidP="00C70CE3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 инфекционном и неинфекционном хроническом воспалении почек (пиелонефрит, гломерулонефрит, интерстициальный нефрит);</w:t>
      </w:r>
    </w:p>
    <w:p w14:paraId="5394BCBC" w14:textId="77777777" w:rsidR="00C70CE3" w:rsidRPr="00C70CE3" w:rsidRDefault="00C70CE3" w:rsidP="00C70CE3">
      <w:pPr>
        <w:numPr>
          <w:ilvl w:val="0"/>
          <w:numId w:val="1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в качестве средства, препятствующего образованию мочевых камней (также после удаления мочевых камней).</w:t>
      </w:r>
    </w:p>
    <w:p w14:paraId="4323125E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Режим дозирования</w:t>
      </w:r>
    </w:p>
    <w:p w14:paraId="33848694" w14:textId="4858ACE3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Рекомендуемая доза: 3 раза/</w:t>
      </w:r>
      <w:r w:rsidR="006E0AB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сут</w:t>
      </w:r>
      <w:proofErr w:type="spellEnd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(утром, днем и вечером) в соответствии с приведенной ниже таблицей.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3"/>
        <w:gridCol w:w="1726"/>
        <w:gridCol w:w="1939"/>
      </w:tblGrid>
      <w:tr w:rsidR="00C70CE3" w:rsidRPr="00C70CE3" w14:paraId="4C40E71C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7E2B9ADA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ru-RU"/>
                <w14:ligatures w14:val="none"/>
              </w:rPr>
              <w:t>Возраст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9E09B26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ru-RU"/>
                <w14:ligatures w14:val="none"/>
              </w:rPr>
              <w:t>Разовая доза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8ACE7AE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b/>
                <w:bCs/>
                <w:kern w:val="0"/>
                <w:sz w:val="20"/>
                <w:szCs w:val="20"/>
                <w:lang w:eastAsia="ru-RU"/>
                <w14:ligatures w14:val="none"/>
              </w:rPr>
              <w:t>Суточная доза</w:t>
            </w:r>
          </w:p>
        </w:tc>
      </w:tr>
      <w:tr w:rsidR="00C70CE3" w:rsidRPr="00C70CE3" w14:paraId="6CA0C538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70EF0266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Дети в возрасте 6-11 лет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C3BEC1B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1 таблетка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41DD94C3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3 таблетки</w:t>
            </w:r>
          </w:p>
        </w:tc>
      </w:tr>
      <w:tr w:rsidR="00C70CE3" w:rsidRPr="00C70CE3" w14:paraId="68A8D989" w14:textId="77777777"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6EBAE103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Подростки в возрасте 12 лет и старше, взрослые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1257310B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2 таблетки</w:t>
            </w:r>
          </w:p>
        </w:tc>
        <w:tc>
          <w:tcPr>
            <w:tcW w:w="0" w:type="auto"/>
            <w:tcBorders>
              <w:top w:val="single" w:sz="6" w:space="0" w:color="EBEBEB"/>
              <w:left w:val="single" w:sz="6" w:space="0" w:color="EBEBEB"/>
              <w:bottom w:val="single" w:sz="6" w:space="0" w:color="EBEBEB"/>
              <w:right w:val="single" w:sz="6" w:space="0" w:color="EBEBEB"/>
            </w:tcBorders>
            <w:tcMar>
              <w:top w:w="45" w:type="dxa"/>
              <w:left w:w="75" w:type="dxa"/>
              <w:bottom w:w="45" w:type="dxa"/>
              <w:right w:w="75" w:type="dxa"/>
            </w:tcMar>
            <w:vAlign w:val="center"/>
            <w:hideMark/>
          </w:tcPr>
          <w:p w14:paraId="36013DB3" w14:textId="77777777" w:rsidR="00C70CE3" w:rsidRPr="00C70CE3" w:rsidRDefault="00C70CE3" w:rsidP="00C70CE3">
            <w:pPr>
              <w:spacing w:before="75" w:after="75"/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C70CE3">
              <w:rPr>
                <w:rFonts w:eastAsia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  <w:t>6 таблеток</w:t>
            </w:r>
          </w:p>
        </w:tc>
      </w:tr>
    </w:tbl>
    <w:p w14:paraId="30AE50FC" w14:textId="24A84471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lastRenderedPageBreak/>
        <w:t>Продолжительность лечения зависит от течения заболевания. После наступления улучшения (завершения острой фазы заболевания) следует продолжить лечение препаратом в течение 2-4 недель. Увеличение продолжительности и проведение повторных курсов лечения возмож</w:t>
      </w:r>
      <w:r w:rsidR="0012297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ен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по рекомендации врача.</w:t>
      </w:r>
    </w:p>
    <w:p w14:paraId="2A65A2D3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333333"/>
          <w:kern w:val="0"/>
          <w:sz w:val="20"/>
          <w:szCs w:val="20"/>
          <w:lang w:eastAsia="ru-RU"/>
          <w14:ligatures w14:val="none"/>
        </w:rPr>
        <w:t>Дети</w:t>
      </w:r>
    </w:p>
    <w:p w14:paraId="182432E0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Безопасность и эффективность у </w:t>
      </w:r>
      <w:r w:rsidRPr="00C70CE3">
        <w:rPr>
          <w:rFonts w:ascii="Arial" w:eastAsia="Times New Roman" w:hAnsi="Arial" w:cs="Arial"/>
          <w:b/>
          <w:bCs/>
          <w:color w:val="333333"/>
          <w:kern w:val="0"/>
          <w:sz w:val="20"/>
          <w:szCs w:val="20"/>
          <w:lang w:eastAsia="ru-RU"/>
          <w14:ligatures w14:val="none"/>
        </w:rPr>
        <w:t>детей в возрасте от 0 до 6 лет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на настоящий момент не установлены. Данные отсутствуют.</w:t>
      </w:r>
    </w:p>
    <w:p w14:paraId="3FC07405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Способ применения</w:t>
      </w:r>
    </w:p>
    <w:p w14:paraId="552FC9F1" w14:textId="77777777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Таблетку принимают внутрь, независимо от приема пищи, не разжевывая, запивая достаточным количеством воды (например, 1 стакан). Во время лечения препаратом рекомендуется потребление большого количества жидкости.</w:t>
      </w:r>
    </w:p>
    <w:p w14:paraId="546368A7" w14:textId="77777777" w:rsidR="00541F84" w:rsidRPr="00C70CE3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2563127F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Побочное действие</w:t>
      </w:r>
    </w:p>
    <w:p w14:paraId="1AA29123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Со стороны ЖКТ: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часто - тошнота, рвота, диарея.</w:t>
      </w:r>
    </w:p>
    <w:p w14:paraId="69A6B55E" w14:textId="77777777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Со стороны иммунной системы: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частота неизвестна - аллергические реакции. При появлении первых признаков аллергической реакции следует прекратить прием препарата и обратиться к врачу; при появлении побочных эффектов, указанных в инструкции, или их усугублении, или появлении любых других побочных эффектов, не указанных в инструкции, необходимо обратиться к врачу.</w:t>
      </w:r>
    </w:p>
    <w:p w14:paraId="53790619" w14:textId="77777777" w:rsidR="00541F84" w:rsidRPr="00C70CE3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646C5B93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Противопоказания к применению</w:t>
      </w:r>
    </w:p>
    <w:p w14:paraId="2C0201ED" w14:textId="77777777" w:rsidR="00C70CE3" w:rsidRPr="00C70CE3" w:rsidRDefault="00C70CE3" w:rsidP="00C70CE3">
      <w:pPr>
        <w:numPr>
          <w:ilvl w:val="0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повышенная чувствительность к активным веществам препарата, к другим растениям семейства зонтичные (например, анис, фенхель), анетолу (компонент эфирных масел), и/или к любому из вспомогательных веществ, входящих в состав препарата;</w:t>
      </w:r>
    </w:p>
    <w:p w14:paraId="6410ADAC" w14:textId="77777777" w:rsidR="00C70CE3" w:rsidRPr="00C70CE3" w:rsidRDefault="00C70CE3" w:rsidP="00C70CE3">
      <w:pPr>
        <w:numPr>
          <w:ilvl w:val="0"/>
          <w:numId w:val="2"/>
        </w:numPr>
        <w:spacing w:before="100" w:beforeAutospacing="1" w:after="100" w:afterAutospacing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заболевания желудочно-кишечного тракта в фазе обострения (в т.ч. гастрит, язвенная болезнь желудка).</w:t>
      </w:r>
    </w:p>
    <w:p w14:paraId="6EE391BF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Применение при беременности и кормлении грудью</w:t>
      </w:r>
    </w:p>
    <w:p w14:paraId="2B5B4CAA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Беременность</w:t>
      </w:r>
    </w:p>
    <w:p w14:paraId="6898EE65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Применение препарата во время беременности возможно только по назначению врача, в случае если предполагаемая польза для матери превышает потенциальный риск для плода и ребенка.</w:t>
      </w:r>
    </w:p>
    <w:p w14:paraId="4DFE9453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Период грудного вскармливания</w:t>
      </w:r>
    </w:p>
    <w:p w14:paraId="3A8D02C1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Применение препарата в период грудного вскармливания возможно только по назначению врача, в случае если предполагаемая польза для матери превышает потенциальный риск для ребенка.</w:t>
      </w:r>
    </w:p>
    <w:p w14:paraId="4EAF6E58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Фертильность</w:t>
      </w:r>
    </w:p>
    <w:p w14:paraId="3B2903B4" w14:textId="5FBBFDC6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Данные о влиянии препарата </w:t>
      </w:r>
      <w:proofErr w:type="spellStart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Медирен</w:t>
      </w:r>
      <w:proofErr w:type="spellEnd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>®</w:t>
      </w:r>
      <w:r w:rsidR="00FC645E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 xml:space="preserve"> 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на фертильность у людей отсутствуют.</w:t>
      </w:r>
    </w:p>
    <w:p w14:paraId="45D06B2C" w14:textId="77777777" w:rsidR="00541F84" w:rsidRPr="00C70CE3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2F7FF326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Применение у детей</w:t>
      </w:r>
    </w:p>
    <w:p w14:paraId="5A9FBBB7" w14:textId="77777777" w:rsidR="00C70CE3" w:rsidRDefault="00C70CE3" w:rsidP="00C70CE3">
      <w:pPr>
        <w:spacing w:after="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Противопоказано применение препарата в детском возрасте до 6 лет.</w:t>
      </w:r>
    </w:p>
    <w:p w14:paraId="57BCAACC" w14:textId="77777777" w:rsidR="00541F84" w:rsidRPr="00C70CE3" w:rsidRDefault="00541F84" w:rsidP="00C70CE3">
      <w:pPr>
        <w:spacing w:after="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3CF13D30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Особые указания</w:t>
      </w:r>
    </w:p>
    <w:p w14:paraId="0DC52EE3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Если симптомы заболевания сохраняются, ухудшаются, повторяются периодически или появляются новые симптомы, необходимо обратиться за консультацией к врачу.</w:t>
      </w:r>
    </w:p>
    <w:p w14:paraId="60A462C6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Необходимо проинформировать пациента, что в случае воспалительных заболеваний почек, появления лихорадки, спазмов, крови в моче, нарушения мочеиспускания, острой задержки мочи, болей при мочеиспускании необходимо обратиться к врачу.</w:t>
      </w:r>
    </w:p>
    <w:p w14:paraId="1D6E3B7F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 отеках, вызванных нарушениями функции сердца или почек, потребление большого количества жидкости противопоказано.</w:t>
      </w:r>
    </w:p>
    <w:p w14:paraId="28ED2A64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Вспомогательные вещества</w:t>
      </w:r>
    </w:p>
    <w:p w14:paraId="2D7FFB19" w14:textId="7273474B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Пациентам с недостаточностью лактазы, дефицитом сахаразы/</w:t>
      </w:r>
      <w:proofErr w:type="spellStart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изомальтазы</w:t>
      </w:r>
      <w:proofErr w:type="spellEnd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, непереносимостью лактозы, фруктозы или глюкозо-</w:t>
      </w:r>
      <w:proofErr w:type="spellStart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галактозной</w:t>
      </w:r>
      <w:proofErr w:type="spellEnd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мальабсорбцией</w:t>
      </w:r>
      <w:proofErr w:type="spellEnd"/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не следует принимать препарат </w:t>
      </w:r>
      <w:proofErr w:type="spellStart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Медирен</w:t>
      </w:r>
      <w:proofErr w:type="spellEnd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>®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.</w:t>
      </w:r>
      <w:r w:rsidR="00541F8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Возможен прием препарата </w:t>
      </w:r>
      <w:proofErr w:type="spellStart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Медирен</w:t>
      </w:r>
      <w:proofErr w:type="spellEnd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>®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, капли для приема внутрь, который не содержит вышеуказанные сахара.</w:t>
      </w:r>
    </w:p>
    <w:p w14:paraId="21D0AD79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lastRenderedPageBreak/>
        <w:t>Информация для </w:t>
      </w: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пациентов с сахарным диабетом: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содержание усваиваемых углеводов в разовой дозе (1 таблетка) соответствует менее чем 0.04 ХЕ, в максимальной суточной дозе (6 таблеток) - менее 0.24 ХЕ.</w:t>
      </w:r>
    </w:p>
    <w:p w14:paraId="5D9BC80F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Влияние на способность к управлению транспортными средствами и механизмами</w:t>
      </w:r>
    </w:p>
    <w:p w14:paraId="3C56BDC4" w14:textId="1227FF45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Применение препарата </w:t>
      </w:r>
      <w:proofErr w:type="spellStart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lang w:eastAsia="ru-RU"/>
          <w14:ligatures w14:val="none"/>
        </w:rPr>
        <w:t>Медирен</w:t>
      </w:r>
      <w:proofErr w:type="spellEnd"/>
      <w:r w:rsidR="00FC645E" w:rsidRPr="00553984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>®</w:t>
      </w:r>
      <w:r w:rsidR="00FC645E"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  <w:t xml:space="preserve"> 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не оказывает влияния на способность к выполнению потенциально опасных видов деятельности, требующих повышенной концентрации внимания и быстроты психомоторных реакций (управление транспортными средствами, работа с движущимися механизмами, работа диспетчера и оператора).</w:t>
      </w:r>
    </w:p>
    <w:p w14:paraId="7CBB8C48" w14:textId="77777777" w:rsidR="00541F84" w:rsidRPr="00C70CE3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66BAEBA2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Передозировка</w:t>
      </w:r>
    </w:p>
    <w:p w14:paraId="2BEE811E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При передозировке возможно усиление выраженности дозозависимых нежелательных реакций.</w:t>
      </w:r>
    </w:p>
    <w:p w14:paraId="77DC1883" w14:textId="77777777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i/>
          <w:iCs/>
          <w:color w:val="333333"/>
          <w:kern w:val="0"/>
          <w:sz w:val="20"/>
          <w:szCs w:val="20"/>
          <w:lang w:eastAsia="ru-RU"/>
          <w14:ligatures w14:val="none"/>
        </w:rPr>
        <w:t>Лечение: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 симптоматическое.</w:t>
      </w:r>
    </w:p>
    <w:p w14:paraId="4E617D2F" w14:textId="77777777" w:rsidR="00541F84" w:rsidRPr="00C70CE3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51A557C5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Лекарственное взаимодействие</w:t>
      </w:r>
    </w:p>
    <w:p w14:paraId="4F24F5E9" w14:textId="77777777" w:rsidR="00C70CE3" w:rsidRP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Комбинация с антибактериальными средствами возможна и целесообразна.</w:t>
      </w:r>
    </w:p>
    <w:p w14:paraId="57FAC136" w14:textId="77777777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Исследования взаимодействия с другими лекарственными препаратами не проводились.</w:t>
      </w:r>
    </w:p>
    <w:p w14:paraId="2BED9D7E" w14:textId="77777777" w:rsidR="00541F84" w:rsidRPr="00C70CE3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08CEB9C5" w14:textId="2BA4845C" w:rsidR="00FC645E" w:rsidRDefault="00C70CE3" w:rsidP="00FC645E">
      <w:pPr>
        <w:spacing w:before="30" w:after="45"/>
        <w:outlineLvl w:val="1"/>
        <w:rPr>
          <w:rFonts w:ascii="Arial" w:eastAsia="Times New Roman" w:hAnsi="Arial" w:cs="Arial"/>
          <w:color w:val="2E3F51"/>
          <w:kern w:val="0"/>
          <w:sz w:val="20"/>
          <w:szCs w:val="20"/>
          <w:vertAlign w:val="superscript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Условия хранения препарата </w:t>
      </w:r>
    </w:p>
    <w:p w14:paraId="435C9377" w14:textId="7964ADE9" w:rsidR="00C70CE3" w:rsidRDefault="00C70CE3" w:rsidP="00FC645E">
      <w:pPr>
        <w:spacing w:before="30" w:after="45"/>
        <w:outlineLvl w:val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Препарат следует хранить в недоступном для детей месте при температуре не выше </w:t>
      </w:r>
      <w:r w:rsidR="003E7B06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25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°C.</w:t>
      </w:r>
    </w:p>
    <w:p w14:paraId="35FB2E55" w14:textId="77777777" w:rsidR="00541F84" w:rsidRPr="00C70CE3" w:rsidRDefault="00541F84" w:rsidP="00FC645E">
      <w:pPr>
        <w:spacing w:before="30" w:after="45"/>
        <w:outlineLvl w:val="1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51921B77" w14:textId="44D7F37B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 xml:space="preserve">Срок годности препарата </w:t>
      </w:r>
    </w:p>
    <w:p w14:paraId="0CFD9740" w14:textId="77777777" w:rsidR="00A660C5" w:rsidRDefault="00C70CE3" w:rsidP="00C70CE3">
      <w:pPr>
        <w:spacing w:after="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Срок годности - </w:t>
      </w:r>
      <w:r w:rsidR="007B7384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2</w:t>
      </w: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 xml:space="preserve"> года. </w:t>
      </w:r>
    </w:p>
    <w:p w14:paraId="6D3478E6" w14:textId="2E51A397" w:rsidR="00C70CE3" w:rsidRDefault="00C70CE3" w:rsidP="00C70CE3">
      <w:pPr>
        <w:spacing w:after="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Не применять по истечении срока годности.</w:t>
      </w:r>
    </w:p>
    <w:p w14:paraId="646C45F2" w14:textId="77777777" w:rsidR="00541F84" w:rsidRPr="00C70CE3" w:rsidRDefault="00541F84" w:rsidP="00C70CE3">
      <w:pPr>
        <w:spacing w:after="0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110EF323" w14:textId="77777777" w:rsidR="00C70CE3" w:rsidRPr="00C70CE3" w:rsidRDefault="00C70CE3" w:rsidP="00C70CE3">
      <w:pPr>
        <w:spacing w:before="30" w:after="45"/>
        <w:outlineLvl w:val="1"/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</w:pPr>
      <w:r w:rsidRPr="00C70CE3">
        <w:rPr>
          <w:rFonts w:ascii="Arial" w:eastAsia="Times New Roman" w:hAnsi="Arial" w:cs="Arial"/>
          <w:b/>
          <w:bCs/>
          <w:color w:val="2E3F51"/>
          <w:kern w:val="0"/>
          <w:sz w:val="23"/>
          <w:szCs w:val="23"/>
          <w:lang w:eastAsia="ru-RU"/>
          <w14:ligatures w14:val="none"/>
        </w:rPr>
        <w:t>Условия реализации</w:t>
      </w:r>
    </w:p>
    <w:p w14:paraId="059248A1" w14:textId="77777777" w:rsidR="00C70CE3" w:rsidRDefault="00C70CE3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  <w:r w:rsidRPr="00C70CE3"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  <w:t>Препарат отпускают без рецепта</w:t>
      </w:r>
    </w:p>
    <w:p w14:paraId="0C226111" w14:textId="77777777" w:rsidR="00541F84" w:rsidRDefault="00541F84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0F108D27" w14:textId="77777777" w:rsidR="00C73B80" w:rsidRPr="00C73B80" w:rsidRDefault="00C73B80" w:rsidP="00C73B80">
      <w:pPr>
        <w:spacing w:after="0"/>
        <w:rPr>
          <w:rFonts w:ascii="Arial" w:hAnsi="Arial" w:cs="Arial"/>
          <w:b/>
          <w:sz w:val="23"/>
          <w:szCs w:val="23"/>
        </w:rPr>
      </w:pPr>
      <w:r w:rsidRPr="00C73B80">
        <w:rPr>
          <w:rFonts w:ascii="Arial" w:hAnsi="Arial" w:cs="Arial"/>
          <w:b/>
          <w:sz w:val="23"/>
          <w:szCs w:val="23"/>
        </w:rPr>
        <w:t>Производитель:</w:t>
      </w:r>
    </w:p>
    <w:p w14:paraId="0903CBFE" w14:textId="77777777" w:rsidR="00C73B80" w:rsidRPr="00C73B80" w:rsidRDefault="00C73B80" w:rsidP="00C73B80">
      <w:pPr>
        <w:spacing w:after="0"/>
        <w:rPr>
          <w:rFonts w:ascii="Arial" w:hAnsi="Arial" w:cs="Arial"/>
          <w:sz w:val="20"/>
          <w:szCs w:val="20"/>
        </w:rPr>
      </w:pPr>
      <w:r w:rsidRPr="00C73B80">
        <w:rPr>
          <w:rFonts w:ascii="Arial" w:hAnsi="Arial" w:cs="Arial"/>
          <w:sz w:val="20"/>
          <w:szCs w:val="20"/>
        </w:rPr>
        <w:t>ООО " SPRING PHARMACEUTIC " СП Великобритания.</w:t>
      </w:r>
    </w:p>
    <w:p w14:paraId="71B572F0" w14:textId="77777777" w:rsidR="00C73B80" w:rsidRPr="00C73B80" w:rsidRDefault="00C73B80" w:rsidP="00C73B80">
      <w:pPr>
        <w:spacing w:after="0"/>
        <w:rPr>
          <w:rFonts w:ascii="Arial" w:hAnsi="Arial" w:cs="Arial"/>
          <w:sz w:val="20"/>
          <w:szCs w:val="20"/>
        </w:rPr>
      </w:pPr>
    </w:p>
    <w:p w14:paraId="59074CB5" w14:textId="77777777" w:rsidR="00C73B80" w:rsidRPr="00C73B80" w:rsidRDefault="00C73B80" w:rsidP="00C73B80">
      <w:pPr>
        <w:spacing w:after="0"/>
        <w:rPr>
          <w:rFonts w:ascii="Arial" w:hAnsi="Arial" w:cs="Arial"/>
          <w:b/>
          <w:sz w:val="23"/>
          <w:szCs w:val="23"/>
        </w:rPr>
      </w:pPr>
      <w:r w:rsidRPr="00C73B80">
        <w:rPr>
          <w:rFonts w:ascii="Arial" w:hAnsi="Arial" w:cs="Arial"/>
          <w:b/>
          <w:sz w:val="23"/>
          <w:szCs w:val="23"/>
        </w:rPr>
        <w:t>Местонахождение производителя и адрес места осуществления деятельности:</w:t>
      </w:r>
    </w:p>
    <w:p w14:paraId="0816AEC6" w14:textId="77777777" w:rsidR="00C73B80" w:rsidRPr="00C73B80" w:rsidRDefault="00C73B80" w:rsidP="00C73B80">
      <w:pPr>
        <w:spacing w:after="0"/>
        <w:rPr>
          <w:rFonts w:ascii="Arial" w:hAnsi="Arial" w:cs="Arial"/>
          <w:sz w:val="20"/>
          <w:szCs w:val="20"/>
        </w:rPr>
      </w:pPr>
      <w:proofErr w:type="gramStart"/>
      <w:r w:rsidRPr="00C73B80">
        <w:rPr>
          <w:rFonts w:ascii="Arial" w:hAnsi="Arial" w:cs="Arial"/>
          <w:sz w:val="20"/>
          <w:szCs w:val="20"/>
        </w:rPr>
        <w:t>Республика  Узбекистан</w:t>
      </w:r>
      <w:proofErr w:type="gramEnd"/>
      <w:r w:rsidRPr="00C73B80">
        <w:rPr>
          <w:rFonts w:ascii="Arial" w:hAnsi="Arial" w:cs="Arial"/>
          <w:sz w:val="20"/>
          <w:szCs w:val="20"/>
        </w:rPr>
        <w:t xml:space="preserve"> , Наманганская область, </w:t>
      </w:r>
      <w:proofErr w:type="spellStart"/>
      <w:r w:rsidRPr="00C73B80">
        <w:rPr>
          <w:rFonts w:ascii="Arial" w:hAnsi="Arial" w:cs="Arial"/>
          <w:sz w:val="20"/>
          <w:szCs w:val="20"/>
        </w:rPr>
        <w:t>Касансайский</w:t>
      </w:r>
      <w:proofErr w:type="spellEnd"/>
      <w:r w:rsidRPr="00C73B80">
        <w:rPr>
          <w:rFonts w:ascii="Arial" w:hAnsi="Arial" w:cs="Arial"/>
          <w:sz w:val="20"/>
          <w:szCs w:val="20"/>
        </w:rPr>
        <w:t xml:space="preserve"> район, </w:t>
      </w:r>
      <w:proofErr w:type="spellStart"/>
      <w:r w:rsidRPr="00C73B80">
        <w:rPr>
          <w:rFonts w:ascii="Arial" w:hAnsi="Arial" w:cs="Arial"/>
          <w:sz w:val="20"/>
          <w:szCs w:val="20"/>
        </w:rPr>
        <w:t>Кукимбой</w:t>
      </w:r>
      <w:proofErr w:type="spellEnd"/>
      <w:r w:rsidRPr="00C73B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73B80">
        <w:rPr>
          <w:rFonts w:ascii="Arial" w:hAnsi="Arial" w:cs="Arial"/>
          <w:sz w:val="20"/>
          <w:szCs w:val="20"/>
        </w:rPr>
        <w:t>Навбахор</w:t>
      </w:r>
      <w:proofErr w:type="spellEnd"/>
      <w:r w:rsidRPr="00C73B80">
        <w:rPr>
          <w:rFonts w:ascii="Arial" w:hAnsi="Arial" w:cs="Arial"/>
          <w:sz w:val="20"/>
          <w:szCs w:val="20"/>
        </w:rPr>
        <w:t xml:space="preserve"> МСГ, улица Булак, дом 129.  </w:t>
      </w:r>
    </w:p>
    <w:p w14:paraId="693B8E6F" w14:textId="77777777" w:rsidR="00C73B80" w:rsidRPr="00C73B80" w:rsidRDefault="00C73B80" w:rsidP="00C73B80">
      <w:pPr>
        <w:spacing w:after="0"/>
        <w:rPr>
          <w:rFonts w:ascii="Arial" w:hAnsi="Arial" w:cs="Arial"/>
          <w:sz w:val="20"/>
          <w:szCs w:val="20"/>
        </w:rPr>
      </w:pPr>
      <w:proofErr w:type="gramStart"/>
      <w:r w:rsidRPr="00C73B80">
        <w:rPr>
          <w:rFonts w:ascii="Arial" w:hAnsi="Arial" w:cs="Arial"/>
          <w:sz w:val="20"/>
          <w:szCs w:val="20"/>
        </w:rPr>
        <w:t>Тел. :</w:t>
      </w:r>
      <w:proofErr w:type="gramEnd"/>
      <w:r w:rsidRPr="00C73B80">
        <w:rPr>
          <w:rFonts w:ascii="Arial" w:hAnsi="Arial" w:cs="Arial"/>
          <w:sz w:val="20"/>
          <w:szCs w:val="20"/>
        </w:rPr>
        <w:t xml:space="preserve"> +998996942363</w:t>
      </w:r>
    </w:p>
    <w:p w14:paraId="2CD4347B" w14:textId="77777777" w:rsidR="00C73B80" w:rsidRPr="00C73B80" w:rsidRDefault="00C73B80" w:rsidP="00C73B80">
      <w:pPr>
        <w:spacing w:after="0"/>
        <w:rPr>
          <w:rFonts w:ascii="Arial" w:eastAsia="Calibri" w:hAnsi="Arial" w:cs="Arial"/>
          <w:sz w:val="20"/>
          <w:szCs w:val="20"/>
          <w:lang w:eastAsia="ru-RU"/>
        </w:rPr>
      </w:pPr>
    </w:p>
    <w:p w14:paraId="7D1A4C7B" w14:textId="77777777" w:rsidR="00C73B80" w:rsidRPr="00C70CE3" w:rsidRDefault="00C73B80" w:rsidP="00C70CE3">
      <w:pPr>
        <w:spacing w:before="75" w:after="75"/>
        <w:rPr>
          <w:rFonts w:ascii="Arial" w:eastAsia="Times New Roman" w:hAnsi="Arial" w:cs="Arial"/>
          <w:color w:val="333333"/>
          <w:kern w:val="0"/>
          <w:sz w:val="20"/>
          <w:szCs w:val="20"/>
          <w:lang w:eastAsia="ru-RU"/>
          <w14:ligatures w14:val="none"/>
        </w:rPr>
      </w:pPr>
    </w:p>
    <w:p w14:paraId="0DA8E82C" w14:textId="77777777" w:rsidR="00F12C76" w:rsidRDefault="00F12C76" w:rsidP="006C0B77">
      <w:pPr>
        <w:spacing w:after="0"/>
        <w:ind w:firstLine="709"/>
        <w:jc w:val="both"/>
      </w:pP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C7060"/>
    <w:multiLevelType w:val="multilevel"/>
    <w:tmpl w:val="CCA43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5A5817"/>
    <w:multiLevelType w:val="multilevel"/>
    <w:tmpl w:val="6F049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008552">
    <w:abstractNumId w:val="1"/>
  </w:num>
  <w:num w:numId="2" w16cid:durableId="988021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3D4"/>
    <w:rsid w:val="001140CA"/>
    <w:rsid w:val="00122973"/>
    <w:rsid w:val="001E7F4B"/>
    <w:rsid w:val="00275513"/>
    <w:rsid w:val="002D56A0"/>
    <w:rsid w:val="0035634F"/>
    <w:rsid w:val="003E7B06"/>
    <w:rsid w:val="004135F4"/>
    <w:rsid w:val="004263E3"/>
    <w:rsid w:val="00541F84"/>
    <w:rsid w:val="00553984"/>
    <w:rsid w:val="00686B56"/>
    <w:rsid w:val="006C0B77"/>
    <w:rsid w:val="006E0AB3"/>
    <w:rsid w:val="00742AB9"/>
    <w:rsid w:val="007B7384"/>
    <w:rsid w:val="008076E2"/>
    <w:rsid w:val="008242FF"/>
    <w:rsid w:val="00870751"/>
    <w:rsid w:val="008B2623"/>
    <w:rsid w:val="00903A4E"/>
    <w:rsid w:val="00922C48"/>
    <w:rsid w:val="0095489E"/>
    <w:rsid w:val="00991968"/>
    <w:rsid w:val="009B12AC"/>
    <w:rsid w:val="00A630B7"/>
    <w:rsid w:val="00A660C5"/>
    <w:rsid w:val="00AB0577"/>
    <w:rsid w:val="00B52A41"/>
    <w:rsid w:val="00B915B7"/>
    <w:rsid w:val="00BE7197"/>
    <w:rsid w:val="00C70CE3"/>
    <w:rsid w:val="00C73B80"/>
    <w:rsid w:val="00CC1263"/>
    <w:rsid w:val="00D20DD9"/>
    <w:rsid w:val="00D67E99"/>
    <w:rsid w:val="00DC2B2E"/>
    <w:rsid w:val="00DF53D4"/>
    <w:rsid w:val="00E91481"/>
    <w:rsid w:val="00EA3CAB"/>
    <w:rsid w:val="00EA59DF"/>
    <w:rsid w:val="00EC2803"/>
    <w:rsid w:val="00EE4070"/>
    <w:rsid w:val="00EF7C49"/>
    <w:rsid w:val="00F12C76"/>
    <w:rsid w:val="00F75DAB"/>
    <w:rsid w:val="00FC6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352E75"/>
  <w15:chartTrackingRefBased/>
  <w15:docId w15:val="{C9139D30-3CB3-4AB1-8A61-12893E232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3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5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53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3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3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3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3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3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3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3D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F53D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F53D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3D4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3D4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3D4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3D4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3D4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3D4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3D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3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3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3D4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3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3D4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3D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3D4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3D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vidal.ru/drugs/pharm-group/1758" TargetMode="External"/><Relationship Id="rId5" Type="http://schemas.openxmlformats.org/officeDocument/2006/relationships/hyperlink" Target="https://www.vidal.ru/drugs/clinic-group/79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</Pages>
  <Words>948</Words>
  <Characters>5405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Hi-TECH</dc:creator>
  <cp:keywords/>
  <dc:description/>
  <cp:lastModifiedBy>Hi-TECH</cp:lastModifiedBy>
  <cp:revision>77</cp:revision>
  <dcterms:created xsi:type="dcterms:W3CDTF">2026-01-27T12:49:00Z</dcterms:created>
  <dcterms:modified xsi:type="dcterms:W3CDTF">2026-01-28T18:51:00Z</dcterms:modified>
</cp:coreProperties>
</file>