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3"/>
          <w:sz-cs w:val="23"/>
          <w:b/>
          <w:color w:val="1F3864"/>
        </w:rPr>
        <w:t xml:space="preserve">ИНСТРУКЦИЯ ПО МЕДИЦИНСКОМУ ПРИМЕНЕНИЮ</w:t>
      </w:r>
    </w:p>
    <w:p>
      <w:pPr/>
      <w:r>
        <w:rPr>
          <w:rFonts w:ascii="Arial" w:hAnsi="Arial" w:cs="Arial"/>
          <w:sz w:val="24"/>
          <w:sz-cs w:val="24"/>
          <w:b/>
          <w:color w:val="1F3864"/>
        </w:rPr>
        <w:t xml:space="preserve">Медирен</w:t>
      </w:r>
      <w:r>
        <w:rPr>
          <w:rFonts w:ascii="Arial" w:hAnsi="Arial" w:cs="Arial"/>
          <w:sz w:val="24"/>
          <w:sz-cs w:val="24"/>
          <w:b/>
          <w:vertAlign w:val="superscript"/>
          <w:color w:val="1F3864"/>
        </w:rPr>
        <w:t xml:space="preserve">®</w:t>
      </w:r>
      <w:r>
        <w:rPr>
          <w:rFonts w:ascii="Arial" w:hAnsi="Arial" w:cs="Arial"/>
          <w:sz w:val="24"/>
          <w:sz-cs w:val="24"/>
          <w:b/>
          <w:color w:val="1F3864"/>
        </w:rPr>
        <w:t xml:space="preserve"> </w:t>
      </w:r>
      <w:r>
        <w:rPr>
          <w:rFonts w:ascii="Arial" w:hAnsi="Arial" w:cs="Arial"/>
          <w:sz w:val="23"/>
          <w:sz-cs w:val="23"/>
          <w:b/>
          <w:color w:val="1F3864"/>
        </w:rPr>
        <w:t xml:space="preserve">таблетки №60</w:t>
      </w:r>
    </w:p>
    <w:p>
      <w:pPr/>
      <w:r>
        <w:rPr>
          <w:rFonts w:ascii="Arial" w:hAnsi="Arial" w:cs="Arial"/>
          <w:sz w:val="23"/>
          <w:sz-cs w:val="23"/>
          <w:b/>
          <w:color w:val="1F3864"/>
        </w:rPr>
        <w:t xml:space="preserve"/>
      </w:r>
    </w:p>
    <w:p>
      <w:pPr/>
      <w:r>
        <w:rPr>
          <w:rFonts w:ascii="Arial" w:hAnsi="Arial" w:cs="Arial"/>
          <w:sz w:val="23"/>
          <w:sz-cs w:val="23"/>
          <w:b/>
          <w:color w:val="1F3864"/>
        </w:rPr>
        <w:t xml:space="preserve">Торговое название:</w:t>
      </w:r>
      <w:r>
        <w:rPr>
          <w:rFonts w:ascii="Arial" w:hAnsi="Arial" w:cs="Arial"/>
          <w:sz w:val="20"/>
          <w:sz-cs w:val="20"/>
          <w:b/>
          <w:color w:val="1F3864"/>
        </w:rPr>
        <w:t xml:space="preserve">   </w:t>
      </w:r>
      <w:r>
        <w:rPr>
          <w:rFonts w:ascii="Arial" w:hAnsi="Arial" w:cs="Arial"/>
          <w:sz w:val="24"/>
          <w:sz-cs w:val="24"/>
          <w:b/>
          <w:color w:val="1F3864"/>
        </w:rPr>
        <w:t xml:space="preserve">Медирен</w:t>
      </w:r>
      <w:r>
        <w:rPr>
          <w:rFonts w:ascii="Arial" w:hAnsi="Arial" w:cs="Arial"/>
          <w:sz w:val="24"/>
          <w:sz-cs w:val="24"/>
          <w:b/>
          <w:vertAlign w:val="superscript"/>
          <w:color w:val="1F3864"/>
        </w:rPr>
        <w:t xml:space="preserve">®</w:t>
      </w:r>
      <w:r>
        <w:rPr>
          <w:rFonts w:ascii="Arial" w:hAnsi="Arial" w:cs="Arial"/>
          <w:sz w:val="24"/>
          <w:sz-cs w:val="24"/>
          <w:b/>
          <w:color w:val="1F3864"/>
        </w:rPr>
        <w:t xml:space="preserve"> </w:t>
      </w:r>
    </w:p>
    <w:p>
      <w:pPr>
        <w:spacing w:before="30" w:after="45"/>
      </w:pPr>
      <w:r>
        <w:rPr>
          <w:rFonts w:ascii="Arial" w:hAnsi="Arial" w:cs="Arial"/>
          <w:sz w:val="24"/>
          <w:sz-cs w:val="24"/>
          <w:b/>
          <w:color w:val="1F3864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Форма выпуска, упаковка: </w:t>
      </w:r>
      <w:r>
        <w:rPr>
          <w:rFonts w:ascii="Arial" w:hAnsi="Arial" w:cs="Arial"/>
          <w:sz w:val="20"/>
          <w:sz-cs w:val="20"/>
          <w:color w:val="333333"/>
        </w:rPr>
        <w:t xml:space="preserve">Таблетки, покрытые оболочкой</w:t>
      </w:r>
      <w:r>
        <w:rPr>
          <w:rFonts w:ascii="Arial" w:hAnsi="Arial" w:cs="Arial"/>
          <w:sz w:val="20"/>
          <w:sz-cs w:val="20"/>
          <w:i/>
          <w:color w:val="333333"/>
        </w:rPr>
        <w:t xml:space="preserve">,</w:t>
      </w:r>
      <w:r>
        <w:rPr>
          <w:rFonts w:ascii="Arial" w:hAnsi="Arial" w:cs="Arial"/>
          <w:sz w:val="20"/>
          <w:sz-cs w:val="20"/>
          <w:color w:val="333333"/>
        </w:rPr>
        <w:t xml:space="preserve"> оранжевые, круглые, двояковыпуклые, с гладкой поверхностью.</w:t>
      </w:r>
      <w:r>
        <w:rPr>
          <w:rFonts w:ascii="Arial" w:hAnsi="Arial" w:cs="Arial"/>
          <w:sz w:val="23"/>
          <w:sz-cs w:val="23"/>
          <w:b/>
          <w:color w:val="2E3F51"/>
        </w:rPr>
        <w:t xml:space="preserve"> </w:t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/>
      </w:r>
    </w:p>
    <w:p>
      <w:pPr/>
      <w:r>
        <w:rPr>
          <w:rFonts w:ascii="Arial" w:hAnsi="Arial" w:cs="Arial"/>
          <w:sz w:val="23"/>
          <w:sz-cs w:val="23"/>
          <w:b/>
          <w:color w:val="2E3F51"/>
        </w:rPr>
        <w:t xml:space="preserve">Состав препарата: </w:t>
      </w:r>
    </w:p>
    <w:p>
      <w:pPr/>
      <w:r>
        <w:rPr>
          <w:rFonts w:ascii="Times New Roman" w:hAnsi="Times New Roman" w:cs="Times New Roman"/>
          <w:sz w:val="22"/>
          <w:sz-cs w:val="22"/>
          <w:i/>
        </w:rPr>
        <w:t xml:space="preserve">Активные компоненты:</w:t>
      </w:r>
    </w:p>
    <w:p>
      <w:pPr>
        <w:spacing w:before="75" w:after="75"/>
      </w:pPr>
      <w:r>
        <w:rPr>
          <w:rFonts w:ascii="Times New Roman" w:hAnsi="Times New Roman" w:cs="Times New Roman"/>
          <w:sz w:val="22"/>
          <w:sz-cs w:val="22"/>
          <w:b/>
        </w:rPr>
        <w:t xml:space="preserve">1 таб.</w:t>
      </w:r>
    </w:p>
    <w:p>
      <w:pPr>
        <w:spacing w:before="75" w:after="75"/>
      </w:pPr>
      <w:r>
        <w:rPr>
          <w:rFonts w:ascii="Times New Roman" w:hAnsi="Times New Roman" w:cs="Times New Roman"/>
          <w:sz w:val="22"/>
          <w:sz-cs w:val="22"/>
        </w:rPr>
        <w:t xml:space="preserve">измельченное лекарственное растительное сырье (порошок):</w:t>
      </w:r>
    </w:p>
    <w:p>
      <w:pPr>
        <w:spacing w:before="75" w:after="75"/>
      </w:pPr>
      <w:r>
        <w:rPr>
          <w:rFonts w:ascii="Times New Roman" w:hAnsi="Times New Roman" w:cs="Times New Roman"/>
          <w:sz w:val="22"/>
          <w:sz-cs w:val="22"/>
        </w:rPr>
        <w:t xml:space="preserve">золототысячника трава (Centaurii herba)</w:t>
      </w:r>
    </w:p>
    <w:p>
      <w:pPr>
        <w:spacing w:before="75" w:after="75"/>
      </w:pPr>
      <w:r>
        <w:rPr>
          <w:rFonts w:ascii="Times New Roman" w:hAnsi="Times New Roman" w:cs="Times New Roman"/>
          <w:sz w:val="22"/>
          <w:sz-cs w:val="22"/>
        </w:rPr>
        <w:t xml:space="preserve">18 мг</w:t>
      </w:r>
    </w:p>
    <w:p>
      <w:pPr>
        <w:spacing w:before="75" w:after="75"/>
      </w:pPr>
      <w:r>
        <w:rPr>
          <w:rFonts w:ascii="Times New Roman" w:hAnsi="Times New Roman" w:cs="Times New Roman"/>
          <w:sz w:val="22"/>
          <w:sz-cs w:val="22"/>
        </w:rPr>
        <w:t xml:space="preserve">любистока лекарственного корни (Levistici officinalis radices)</w:t>
      </w:r>
    </w:p>
    <w:p>
      <w:pPr>
        <w:spacing w:before="75" w:after="75"/>
      </w:pPr>
      <w:r>
        <w:rPr>
          <w:rFonts w:ascii="Times New Roman" w:hAnsi="Times New Roman" w:cs="Times New Roman"/>
          <w:sz w:val="22"/>
          <w:sz-cs w:val="22"/>
        </w:rPr>
        <w:t xml:space="preserve">18 мг</w:t>
      </w:r>
    </w:p>
    <w:p>
      <w:pPr>
        <w:spacing w:before="75" w:after="75"/>
      </w:pPr>
      <w:r>
        <w:rPr>
          <w:rFonts w:ascii="Times New Roman" w:hAnsi="Times New Roman" w:cs="Times New Roman"/>
          <w:sz w:val="22"/>
          <w:sz-cs w:val="22"/>
        </w:rPr>
        <w:t xml:space="preserve">розмарина обыкновенного листья (Rosmarini officinalis folia)</w:t>
      </w:r>
    </w:p>
    <w:p>
      <w:pPr>
        <w:spacing w:before="75" w:after="75"/>
      </w:pPr>
      <w:r>
        <w:rPr>
          <w:rFonts w:ascii="Times New Roman" w:hAnsi="Times New Roman" w:cs="Times New Roman"/>
          <w:sz w:val="22"/>
          <w:sz-cs w:val="22"/>
        </w:rPr>
        <w:t xml:space="preserve">18 мг</w:t>
      </w:r>
    </w:p>
    <w:p>
      <w:pPr>
        <w:spacing w:before="150" w:after="150"/>
      </w:pPr>
      <w:r>
        <w:rPr>
          <w:rFonts w:ascii="Arial" w:hAnsi="Arial" w:cs="Arial"/>
          <w:sz w:val="20"/>
          <w:sz-cs w:val="20"/>
          <w:i/>
          <w:color w:val="333333"/>
        </w:rPr>
        <w:t xml:space="preserve">Вспомогательные вещества</w:t>
      </w:r>
      <w:r>
        <w:rPr>
          <w:rFonts w:ascii="Arial" w:hAnsi="Arial" w:cs="Arial"/>
          <w:sz w:val="20"/>
          <w:sz-cs w:val="20"/>
          <w:color w:val="333333"/>
        </w:rPr>
        <w:t xml:space="preserve">: воск горный гликолевый, глюкоза жидкая, декстрин, кальция карбонат, касторовое масло нерафинированное, крахмал кукурузный, кремния диоксид коллоидный безводный, лактозы моногидрат, магния стеарат, повидон K30, рибофлавин (E101).</w:t>
      </w:r>
    </w:p>
    <w:p>
      <w:pPr>
        <w:spacing w:before="150" w:after="150"/>
      </w:pPr>
      <w:r>
        <w:rPr>
          <w:rFonts w:ascii="Arial" w:hAnsi="Arial" w:cs="Arial"/>
          <w:sz w:val="20"/>
          <w:sz-cs w:val="20"/>
          <w:color w:val="333333"/>
        </w:rPr>
        <w:t xml:space="preserve">20 шт. - блистеры (3) - пачки картонные.</w:t>
      </w:r>
    </w:p>
    <w:p>
      <w:pPr/>
      <w:r>
        <w:rPr>
          <w:rFonts w:ascii="Arial" w:hAnsi="Arial" w:cs="Arial"/>
          <w:sz w:val="23"/>
          <w:sz-cs w:val="23"/>
          <w:b/>
          <w:color w:val="2E3F51"/>
        </w:rPr>
        <w:t xml:space="preserve">Группа:</w:t>
      </w:r>
      <w:r>
        <w:rPr>
          <w:rFonts w:ascii="Arial" w:hAnsi="Arial" w:cs="Arial"/>
          <w:sz w:val="21"/>
          <w:sz-cs w:val="21"/>
          <w:color w:val="333333"/>
        </w:rPr>
        <w:t xml:space="preserve"> </w:t>
      </w:r>
      <w:r>
        <w:rPr>
          <w:rFonts w:ascii="Arial" w:hAnsi="Arial" w:cs="Arial"/>
          <w:sz w:val="21"/>
          <w:sz-cs w:val="21"/>
          <w:color w:val="ED7D31"/>
        </w:rPr>
        <w:t xml:space="preserve">Фитопрепарат, применяемый при заболеваниях почек и мочевыводящих путей</w:t>
      </w:r>
    </w:p>
    <w:p>
      <w:pPr/>
      <w:r>
        <w:rPr>
          <w:rFonts w:ascii="Arial" w:hAnsi="Arial" w:cs="Arial"/>
          <w:sz w:val="21"/>
          <w:sz-cs w:val="21"/>
          <w:color w:val="ED7D31"/>
        </w:rPr>
        <w:t xml:space="preserve"/>
      </w:r>
    </w:p>
    <w:p>
      <w:pPr/>
      <w:r>
        <w:rPr>
          <w:rFonts w:ascii="Arial" w:hAnsi="Arial" w:cs="Arial"/>
          <w:sz w:val="23"/>
          <w:sz-cs w:val="23"/>
          <w:b/>
          <w:color w:val="2E3F51"/>
        </w:rPr>
        <w:t xml:space="preserve">Терапевтическая группа:</w:t>
      </w:r>
      <w:r>
        <w:rPr>
          <w:rFonts w:ascii="Arial" w:hAnsi="Arial" w:cs="Arial"/>
          <w:sz w:val="21"/>
          <w:sz-cs w:val="21"/>
          <w:color w:val="333333"/>
        </w:rPr>
        <w:t xml:space="preserve"> </w:t>
      </w:r>
      <w:r>
        <w:rPr>
          <w:rFonts w:ascii="Arial" w:hAnsi="Arial" w:cs="Arial"/>
          <w:sz w:val="21"/>
          <w:sz-cs w:val="21"/>
          <w:color w:val="ED7D31"/>
        </w:rPr>
        <w:t xml:space="preserve">Средства, применяемые в урологии; другие средства, применяемые в урологии</w:t>
      </w:r>
    </w:p>
    <w:p>
      <w:pPr/>
      <w:r>
        <w:rPr>
          <w:rFonts w:ascii="Arial" w:hAnsi="Arial" w:cs="Arial"/>
          <w:sz w:val="21"/>
          <w:sz-cs w:val="21"/>
          <w:color w:val="ED7D31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Действие</w:t>
      </w:r>
    </w:p>
    <w:p>
      <w:pPr>
        <w:spacing w:before="30" w:after="45"/>
      </w:pPr>
      <w:r>
        <w:rPr>
          <w:rFonts w:ascii="Arial" w:hAnsi="Arial" w:cs="Arial"/>
          <w:sz w:val="20"/>
          <w:sz-cs w:val="20"/>
          <w:color w:val="2E3F51"/>
        </w:rPr>
        <w:t xml:space="preserve">Механизм действия и свойства </w:t>
      </w:r>
      <w:r>
        <w:rPr>
          <w:rFonts w:ascii="Arial" w:hAnsi="Arial" w:cs="Arial"/>
          <w:sz w:val="20"/>
          <w:sz-cs w:val="20"/>
        </w:rPr>
        <w:t xml:space="preserve">Медирен</w:t>
      </w:r>
      <w:r>
        <w:rPr>
          <w:rFonts w:ascii="Arial" w:hAnsi="Arial" w:cs="Arial"/>
          <w:sz w:val="20"/>
          <w:sz-cs w:val="20"/>
          <w:vertAlign w:val="superscript"/>
        </w:rPr>
        <w:t xml:space="preserve">®</w:t>
      </w:r>
      <w:r>
        <w:rPr>
          <w:rFonts w:ascii="Arial" w:hAnsi="Arial" w:cs="Arial"/>
          <w:sz w:val="20"/>
          <w:sz-cs w:val="20"/>
        </w:rPr>
        <w:t xml:space="preserve"> </w:t>
      </w:r>
      <w:r>
        <w:rPr>
          <w:rFonts w:ascii="Arial" w:hAnsi="Arial" w:cs="Arial"/>
          <w:sz w:val="20"/>
          <w:sz-cs w:val="20"/>
          <w:color w:val="2E3F51"/>
        </w:rPr>
        <w:t xml:space="preserve">таблеток, соответствует  совокупно указанным,аналогичным действующим веществам, указанным информацией справочника Видаль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Комбинированный препарат растительного происхождения, оказывает мочегонное, спазмолитическое, противовоспалительное, противомикробное действие.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 </w:t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Показания препарата Медирен</w:t>
      </w:r>
      <w:r>
        <w:rPr>
          <w:rFonts w:ascii="Arial" w:hAnsi="Arial" w:cs="Arial"/>
          <w:sz w:val="23"/>
          <w:sz-cs w:val="23"/>
          <w:b/>
          <w:vertAlign w:val="superscript"/>
          <w:color w:val="2E3F51"/>
        </w:rPr>
        <w:t xml:space="preserve">®</w:t>
      </w:r>
    </w:p>
    <w:p>
      <w:pPr>
        <w:spacing w:before="30" w:after="45"/>
      </w:pPr>
      <w:r>
        <w:rPr>
          <w:rFonts w:ascii="Arial" w:hAnsi="Arial" w:cs="Arial"/>
          <w:sz w:val="20"/>
          <w:sz-cs w:val="20"/>
          <w:color w:val="333333"/>
        </w:rPr>
        <w:t xml:space="preserve">Взрослым и детям в возрасте от 6 до 18 лет в комплексной терапии:</w:t>
      </w:r>
    </w:p>
    <w:p>
      <w:pPr>
        <w:ind w:left="720" w:first-line="-720"/>
        <w:spacing w:before="100" w:after="100"/>
      </w:pPr>
      <w:r>
        <w:rPr>
          <w:rFonts w:ascii="Arial" w:hAnsi="Arial" w:cs="Arial"/>
          <w:sz w:val="20"/>
          <w:sz-cs w:val="20"/>
          <w:color w:val="333333"/>
        </w:rPr>
        <w:t xml:space="preserve"/>
        <w:tab/>
        <w:t xml:space="preserve">•</w:t>
        <w:tab/>
        <w:t xml:space="preserve">острых и хронических инфекций мочевого пузыря (цистита);</w:t>
      </w:r>
    </w:p>
    <w:p>
      <w:pPr>
        <w:ind w:left="720" w:first-line="-720"/>
        <w:spacing w:before="100" w:after="100"/>
      </w:pPr>
      <w:r>
        <w:rPr>
          <w:rFonts w:ascii="Arial" w:hAnsi="Arial" w:cs="Arial"/>
          <w:sz w:val="20"/>
          <w:sz-cs w:val="20"/>
          <w:color w:val="333333"/>
        </w:rPr>
        <w:t xml:space="preserve"/>
        <w:tab/>
        <w:t xml:space="preserve">•</w:t>
        <w:tab/>
        <w:t xml:space="preserve">при инфекционном и неинфекционном хроническом воспалении почек (пиелонефрит, гломерулонефрит, интерстициальный нефрит);</w:t>
      </w:r>
    </w:p>
    <w:p>
      <w:pPr>
        <w:ind w:left="720" w:first-line="-720"/>
        <w:spacing w:before="100" w:after="100"/>
      </w:pPr>
      <w:r>
        <w:rPr>
          <w:rFonts w:ascii="Arial" w:hAnsi="Arial" w:cs="Arial"/>
          <w:sz w:val="20"/>
          <w:sz-cs w:val="20"/>
          <w:color w:val="333333"/>
        </w:rPr>
        <w:t xml:space="preserve"/>
        <w:tab/>
        <w:t xml:space="preserve">•</w:t>
        <w:tab/>
        <w:t xml:space="preserve">в качестве средства, препятствующего образованию мочевых камней (также после удаления мочевых камней).</w:t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Режим дозирования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Рекомендуемая доза: 3 раза/ сут (утром, днем и вечером) в соответствии с приведенной ниже таблицей.</w:t>
      </w:r>
    </w:p>
    <w:p>
      <w:pPr>
        <w:spacing w:before="75" w:after="75"/>
      </w:pPr>
      <w:r>
        <w:rPr>
          <w:rFonts w:ascii="Times New Roman" w:hAnsi="Times New Roman" w:cs="Times New Roman"/>
          <w:sz w:val="20"/>
          <w:sz-cs w:val="20"/>
          <w:b/>
        </w:rPr>
        <w:t xml:space="preserve">Возраст</w:t>
      </w:r>
    </w:p>
    <w:p>
      <w:pPr>
        <w:spacing w:before="75" w:after="75"/>
      </w:pPr>
      <w:r>
        <w:rPr>
          <w:rFonts w:ascii="Times New Roman" w:hAnsi="Times New Roman" w:cs="Times New Roman"/>
          <w:sz w:val="20"/>
          <w:sz-cs w:val="20"/>
          <w:b/>
        </w:rPr>
        <w:t xml:space="preserve">Разовая доза</w:t>
      </w:r>
    </w:p>
    <w:p>
      <w:pPr>
        <w:spacing w:before="75" w:after="75"/>
      </w:pPr>
      <w:r>
        <w:rPr>
          <w:rFonts w:ascii="Times New Roman" w:hAnsi="Times New Roman" w:cs="Times New Roman"/>
          <w:sz w:val="20"/>
          <w:sz-cs w:val="20"/>
          <w:b/>
        </w:rPr>
        <w:t xml:space="preserve">Суточная доза</w:t>
      </w:r>
    </w:p>
    <w:p>
      <w:pPr>
        <w:spacing w:before="75" w:after="75"/>
      </w:pPr>
      <w:r>
        <w:rPr>
          <w:rFonts w:ascii="Times New Roman" w:hAnsi="Times New Roman" w:cs="Times New Roman"/>
          <w:sz w:val="20"/>
          <w:sz-cs w:val="20"/>
        </w:rPr>
        <w:t xml:space="preserve">Дети в возрасте 6-11 лет</w:t>
      </w:r>
    </w:p>
    <w:p>
      <w:pPr>
        <w:spacing w:before="75" w:after="75"/>
      </w:pPr>
      <w:r>
        <w:rPr>
          <w:rFonts w:ascii="Times New Roman" w:hAnsi="Times New Roman" w:cs="Times New Roman"/>
          <w:sz w:val="20"/>
          <w:sz-cs w:val="20"/>
        </w:rPr>
        <w:t xml:space="preserve">1 таблетка</w:t>
      </w:r>
    </w:p>
    <w:p>
      <w:pPr>
        <w:spacing w:before="75" w:after="75"/>
      </w:pPr>
      <w:r>
        <w:rPr>
          <w:rFonts w:ascii="Times New Roman" w:hAnsi="Times New Roman" w:cs="Times New Roman"/>
          <w:sz w:val="20"/>
          <w:sz-cs w:val="20"/>
        </w:rPr>
        <w:t xml:space="preserve">3 таблетки</w:t>
      </w:r>
    </w:p>
    <w:p>
      <w:pPr>
        <w:spacing w:before="75" w:after="75"/>
      </w:pPr>
      <w:r>
        <w:rPr>
          <w:rFonts w:ascii="Times New Roman" w:hAnsi="Times New Roman" w:cs="Times New Roman"/>
          <w:sz w:val="20"/>
          <w:sz-cs w:val="20"/>
        </w:rPr>
        <w:t xml:space="preserve">Подростки в возрасте 12 лет и старше, взрослые</w:t>
      </w:r>
    </w:p>
    <w:p>
      <w:pPr>
        <w:spacing w:before="75" w:after="75"/>
      </w:pPr>
      <w:r>
        <w:rPr>
          <w:rFonts w:ascii="Times New Roman" w:hAnsi="Times New Roman" w:cs="Times New Roman"/>
          <w:sz w:val="20"/>
          <w:sz-cs w:val="20"/>
        </w:rPr>
        <w:t xml:space="preserve">2 таблетки</w:t>
      </w:r>
    </w:p>
    <w:p>
      <w:pPr>
        <w:spacing w:before="75" w:after="75"/>
      </w:pPr>
      <w:r>
        <w:rPr>
          <w:rFonts w:ascii="Times New Roman" w:hAnsi="Times New Roman" w:cs="Times New Roman"/>
          <w:sz w:val="20"/>
          <w:sz-cs w:val="20"/>
        </w:rPr>
        <w:t xml:space="preserve">6 таблеток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Продолжительность лечения зависит от течения заболевания. После наступления улучшения (завершения острой фазы заболевания) следует продолжить лечение препаратом в течение 2-4 недель. Увеличение продолжительности и проведение повторных курсов лечения возможен по рекомендации врача.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b/>
          <w:color w:val="333333"/>
        </w:rPr>
        <w:t xml:space="preserve">Дети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Безопасность и эффективность у </w:t>
      </w:r>
      <w:r>
        <w:rPr>
          <w:rFonts w:ascii="Arial" w:hAnsi="Arial" w:cs="Arial"/>
          <w:sz w:val="20"/>
          <w:sz-cs w:val="20"/>
          <w:b/>
          <w:color w:val="333333"/>
        </w:rPr>
        <w:t xml:space="preserve">детей в возрасте от 0 до 6 лет</w:t>
      </w:r>
      <w:r>
        <w:rPr>
          <w:rFonts w:ascii="Arial" w:hAnsi="Arial" w:cs="Arial"/>
          <w:sz w:val="20"/>
          <w:sz-cs w:val="20"/>
          <w:color w:val="333333"/>
        </w:rPr>
        <w:t xml:space="preserve"> на настоящий момент не установлены. Данные отсутствуют.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i/>
          <w:color w:val="333333"/>
        </w:rPr>
        <w:t xml:space="preserve">Способ применения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Таблетку принимают внутрь, независимо от приема пищи, не разжевывая, запивая достаточным количеством воды (например, 1 стакан). Во время лечения препаратом рекомендуется потребление большого количества жидкости.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Побочное действие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i/>
          <w:color w:val="333333"/>
        </w:rPr>
        <w:t xml:space="preserve">Со стороны ЖКТ:</w:t>
      </w:r>
      <w:r>
        <w:rPr>
          <w:rFonts w:ascii="Arial" w:hAnsi="Arial" w:cs="Arial"/>
          <w:sz w:val="20"/>
          <w:sz-cs w:val="20"/>
          <w:color w:val="333333"/>
        </w:rPr>
        <w:t xml:space="preserve"> часто - тошнота, рвота, диарея.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i/>
          <w:color w:val="333333"/>
        </w:rPr>
        <w:t xml:space="preserve">Со стороны иммунной системы:</w:t>
      </w:r>
      <w:r>
        <w:rPr>
          <w:rFonts w:ascii="Arial" w:hAnsi="Arial" w:cs="Arial"/>
          <w:sz w:val="20"/>
          <w:sz-cs w:val="20"/>
          <w:color w:val="333333"/>
        </w:rPr>
        <w:t xml:space="preserve"> частота неизвестна - аллергические реакции. При появлении первых признаков аллергической реакции следует прекратить прием препарата и обратиться к врачу; при появлении побочных эффектов, указанных в инструкции, или их усугублении, или появлении любых других побочных эффектов, не указанных в инструкции, необходимо обратиться к врачу.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Противопоказания к применению</w:t>
      </w:r>
    </w:p>
    <w:p>
      <w:pPr>
        <w:ind w:left="720" w:first-line="-720"/>
        <w:spacing w:before="100" w:after="100"/>
      </w:pPr>
      <w:r>
        <w:rPr>
          <w:rFonts w:ascii="Arial" w:hAnsi="Arial" w:cs="Arial"/>
          <w:sz w:val="20"/>
          <w:sz-cs w:val="20"/>
          <w:color w:val="333333"/>
        </w:rPr>
        <w:t xml:space="preserve"/>
        <w:tab/>
        <w:t xml:space="preserve">•</w:t>
        <w:tab/>
        <w:t xml:space="preserve">повышенная чувствительность к активным веществам препарата, к другим растениям семейства зонтичные (например, анис, фенхель), анетолу (компонент эфирных масел), и/или к любому из вспомогательных веществ, входящих в состав препарата;</w:t>
      </w:r>
    </w:p>
    <w:p>
      <w:pPr>
        <w:ind w:left="720" w:first-line="-720"/>
        <w:spacing w:before="100" w:after="100"/>
      </w:pPr>
      <w:r>
        <w:rPr>
          <w:rFonts w:ascii="Arial" w:hAnsi="Arial" w:cs="Arial"/>
          <w:sz w:val="20"/>
          <w:sz-cs w:val="20"/>
          <w:color w:val="333333"/>
        </w:rPr>
        <w:t xml:space="preserve"/>
        <w:tab/>
        <w:t xml:space="preserve">•</w:t>
        <w:tab/>
        <w:t xml:space="preserve">заболевания желудочно-кишечного тракта в фазе обострения (в т.ч. гастрит, язвенная болезнь желудка).</w:t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Применение при беременности и кормлении грудью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i/>
          <w:color w:val="333333"/>
        </w:rPr>
        <w:t xml:space="preserve">Беременность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Применение препарата во время беременности возможно только по назначению врача, в случае если предполагаемая польза для матери превышает потенциальный риск для плода и ребенка.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i/>
          <w:color w:val="333333"/>
        </w:rPr>
        <w:t xml:space="preserve">Период грудного вскармливания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Применение препарата в период грудного вскармливания возможно только по назначению врача, в случае если предполагаемая польза для матери превышает потенциальный риск для ребенка.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i/>
          <w:color w:val="333333"/>
        </w:rPr>
        <w:t xml:space="preserve">Фертильность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Данные о влиянии препарата </w:t>
      </w:r>
      <w:r>
        <w:rPr>
          <w:rFonts w:ascii="Arial" w:hAnsi="Arial" w:cs="Arial"/>
          <w:sz w:val="20"/>
          <w:sz-cs w:val="20"/>
          <w:color w:val="2E3F51"/>
        </w:rPr>
        <w:t xml:space="preserve">Медирен</w:t>
      </w:r>
      <w:r>
        <w:rPr>
          <w:rFonts w:ascii="Arial" w:hAnsi="Arial" w:cs="Arial"/>
          <w:sz w:val="20"/>
          <w:sz-cs w:val="20"/>
          <w:vertAlign w:val="superscript"/>
          <w:color w:val="2E3F51"/>
        </w:rPr>
        <w:t xml:space="preserve">® </w:t>
      </w:r>
      <w:r>
        <w:rPr>
          <w:rFonts w:ascii="Arial" w:hAnsi="Arial" w:cs="Arial"/>
          <w:sz w:val="20"/>
          <w:sz-cs w:val="20"/>
          <w:color w:val="333333"/>
        </w:rPr>
        <w:t xml:space="preserve">на фертильность у людей отсутствуют.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Применение у детей</w:t>
      </w:r>
    </w:p>
    <w:p>
      <w:pPr/>
      <w:r>
        <w:rPr>
          <w:rFonts w:ascii="Arial" w:hAnsi="Arial" w:cs="Arial"/>
          <w:sz w:val="20"/>
          <w:sz-cs w:val="20"/>
          <w:color w:val="333333"/>
        </w:rPr>
        <w:t xml:space="preserve">Противопоказано применение препарата в детском возрасте до 6 лет.</w:t>
      </w:r>
    </w:p>
    <w:p>
      <w:pPr/>
      <w:r>
        <w:rPr>
          <w:rFonts w:ascii="Arial" w:hAnsi="Arial" w:cs="Arial"/>
          <w:sz w:val="20"/>
          <w:sz-cs w:val="20"/>
          <w:color w:val="333333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Особые указания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Если симптомы заболевания сохраняются, ухудшаются, повторяются периодически или появляются новые симптомы, необходимо обратиться за консультацией к врачу.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Необходимо проинформировать пациента, что в случае воспалительных заболеваний почек, появления лихорадки, спазмов, крови в моче, нарушения мочеиспускания, острой задержки мочи, болей при мочеиспускании необходимо обратиться к врачу.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При отеках, вызванных нарушениями функции сердца или почек, потребление большого количества жидкости противопоказано.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i/>
          <w:color w:val="333333"/>
        </w:rPr>
        <w:t xml:space="preserve">Вспомогательные вещества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Пациентам с недостаточностью лактазы, дефицитом сахаразы/изомальтазы, непереносимостью лактозы, фруктозы или глюкозо-галактозной мальабсорбцией не следует принимать препарат </w:t>
      </w:r>
      <w:r>
        <w:rPr>
          <w:rFonts w:ascii="Arial" w:hAnsi="Arial" w:cs="Arial"/>
          <w:sz w:val="20"/>
          <w:sz-cs w:val="20"/>
          <w:color w:val="2E3F51"/>
        </w:rPr>
        <w:t xml:space="preserve">Медирен</w:t>
      </w:r>
      <w:r>
        <w:rPr>
          <w:rFonts w:ascii="Arial" w:hAnsi="Arial" w:cs="Arial"/>
          <w:sz w:val="20"/>
          <w:sz-cs w:val="20"/>
          <w:vertAlign w:val="superscript"/>
          <w:color w:val="2E3F51"/>
        </w:rPr>
        <w:t xml:space="preserve">®</w:t>
      </w:r>
      <w:r>
        <w:rPr>
          <w:rFonts w:ascii="Arial" w:hAnsi="Arial" w:cs="Arial"/>
          <w:sz w:val="20"/>
          <w:sz-cs w:val="20"/>
          <w:color w:val="333333"/>
        </w:rPr>
        <w:t xml:space="preserve">. Возможен прием препарата </w:t>
      </w:r>
      <w:r>
        <w:rPr>
          <w:rFonts w:ascii="Arial" w:hAnsi="Arial" w:cs="Arial"/>
          <w:sz w:val="20"/>
          <w:sz-cs w:val="20"/>
          <w:color w:val="2E3F51"/>
        </w:rPr>
        <w:t xml:space="preserve">Медирен</w:t>
      </w:r>
      <w:r>
        <w:rPr>
          <w:rFonts w:ascii="Arial" w:hAnsi="Arial" w:cs="Arial"/>
          <w:sz w:val="20"/>
          <w:sz-cs w:val="20"/>
          <w:vertAlign w:val="superscript"/>
          <w:color w:val="2E3F51"/>
        </w:rPr>
        <w:t xml:space="preserve">®</w:t>
      </w:r>
      <w:r>
        <w:rPr>
          <w:rFonts w:ascii="Arial" w:hAnsi="Arial" w:cs="Arial"/>
          <w:sz w:val="20"/>
          <w:sz-cs w:val="20"/>
          <w:color w:val="333333"/>
        </w:rPr>
        <w:t xml:space="preserve">, капли для приема внутрь, который не содержит вышеуказанные сахара.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Информация для </w:t>
      </w:r>
      <w:r>
        <w:rPr>
          <w:rFonts w:ascii="Arial" w:hAnsi="Arial" w:cs="Arial"/>
          <w:sz w:val="20"/>
          <w:sz-cs w:val="20"/>
          <w:i/>
          <w:color w:val="333333"/>
        </w:rPr>
        <w:t xml:space="preserve">пациентов с сахарным диабетом:</w:t>
      </w:r>
      <w:r>
        <w:rPr>
          <w:rFonts w:ascii="Arial" w:hAnsi="Arial" w:cs="Arial"/>
          <w:sz w:val="20"/>
          <w:sz-cs w:val="20"/>
          <w:color w:val="333333"/>
        </w:rPr>
        <w:t xml:space="preserve"> содержание усваиваемых углеводов в разовой дозе (1 таблетка) соответствует менее чем 0.04 ХЕ, в максимальной суточной дозе (6 таблеток) - менее 0.24 ХЕ.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i/>
          <w:color w:val="333333"/>
        </w:rPr>
        <w:t xml:space="preserve">Влияние на способность к управлению транспортными средствами и механизмами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Применение препарата </w:t>
      </w:r>
      <w:r>
        <w:rPr>
          <w:rFonts w:ascii="Arial" w:hAnsi="Arial" w:cs="Arial"/>
          <w:sz w:val="20"/>
          <w:sz-cs w:val="20"/>
          <w:color w:val="2E3F51"/>
        </w:rPr>
        <w:t xml:space="preserve">Медирен</w:t>
      </w:r>
      <w:r>
        <w:rPr>
          <w:rFonts w:ascii="Arial" w:hAnsi="Arial" w:cs="Arial"/>
          <w:sz w:val="20"/>
          <w:sz-cs w:val="20"/>
          <w:vertAlign w:val="superscript"/>
          <w:color w:val="2E3F51"/>
        </w:rPr>
        <w:t xml:space="preserve">® </w:t>
      </w:r>
      <w:r>
        <w:rPr>
          <w:rFonts w:ascii="Arial" w:hAnsi="Arial" w:cs="Arial"/>
          <w:sz w:val="20"/>
          <w:sz-cs w:val="20"/>
          <w:color w:val="333333"/>
        </w:rPr>
        <w:t xml:space="preserve">не оказывает влияния на способность к выполнению потенциально опасных видов деятельности, требующих повышенной концентрации внимания и быстроты психомоторных реакций (управление транспортными средствами, работа с движущимися механизмами, работа диспетчера и оператора).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Передозировка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При передозировке возможно усиление выраженности дозозависимых нежелательных реакций.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i/>
          <w:color w:val="333333"/>
        </w:rPr>
        <w:t xml:space="preserve">Лечение:</w:t>
      </w:r>
      <w:r>
        <w:rPr>
          <w:rFonts w:ascii="Arial" w:hAnsi="Arial" w:cs="Arial"/>
          <w:sz w:val="20"/>
          <w:sz-cs w:val="20"/>
          <w:color w:val="333333"/>
        </w:rPr>
        <w:t xml:space="preserve"> симптоматическое.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Лекарственное взаимодействие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Комбинация с антибактериальными средствами возможна и целесообразна.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Исследования взаимодействия с другими лекарственными препаратами не проводились.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Условия хранения препарата </w:t>
      </w:r>
    </w:p>
    <w:p>
      <w:pPr>
        <w:spacing w:before="30" w:after="45"/>
      </w:pPr>
      <w:r>
        <w:rPr>
          <w:rFonts w:ascii="Arial" w:hAnsi="Arial" w:cs="Arial"/>
          <w:sz w:val="20"/>
          <w:sz-cs w:val="20"/>
          <w:color w:val="333333"/>
        </w:rPr>
        <w:t xml:space="preserve">Препарат следует хранить в недоступном для детей месте при температуре не выше 25°C.</w:t>
      </w:r>
    </w:p>
    <w:p>
      <w:pPr>
        <w:spacing w:before="30" w:after="45"/>
      </w:pPr>
      <w:r>
        <w:rPr>
          <w:rFonts w:ascii="Arial" w:hAnsi="Arial" w:cs="Arial"/>
          <w:sz w:val="20"/>
          <w:sz-cs w:val="20"/>
          <w:color w:val="333333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Срок годности препарата </w:t>
      </w:r>
    </w:p>
    <w:p>
      <w:pPr/>
      <w:r>
        <w:rPr>
          <w:rFonts w:ascii="Arial" w:hAnsi="Arial" w:cs="Arial"/>
          <w:sz w:val="20"/>
          <w:sz-cs w:val="20"/>
          <w:color w:val="333333"/>
        </w:rPr>
        <w:t xml:space="preserve">Срок годности - 2 года. </w:t>
      </w:r>
    </w:p>
    <w:p>
      <w:pPr/>
      <w:r>
        <w:rPr>
          <w:rFonts w:ascii="Arial" w:hAnsi="Arial" w:cs="Arial"/>
          <w:sz w:val="20"/>
          <w:sz-cs w:val="20"/>
          <w:color w:val="333333"/>
        </w:rPr>
        <w:t xml:space="preserve">Не применять по истечении срока годности.</w:t>
      </w:r>
    </w:p>
    <w:p>
      <w:pPr/>
      <w:r>
        <w:rPr>
          <w:rFonts w:ascii="Arial" w:hAnsi="Arial" w:cs="Arial"/>
          <w:sz w:val="20"/>
          <w:sz-cs w:val="20"/>
          <w:color w:val="333333"/>
        </w:rPr>
        <w:t xml:space="preserve"/>
      </w:r>
    </w:p>
    <w:p>
      <w:pPr>
        <w:spacing w:before="30" w:after="45"/>
      </w:pPr>
      <w:r>
        <w:rPr>
          <w:rFonts w:ascii="Arial" w:hAnsi="Arial" w:cs="Arial"/>
          <w:sz w:val="23"/>
          <w:sz-cs w:val="23"/>
          <w:b/>
          <w:color w:val="2E3F51"/>
        </w:rPr>
        <w:t xml:space="preserve">Условия реализации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>Препарат отпускают без рецепта</w:t>
      </w:r>
    </w:p>
    <w:p>
      <w:pPr>
        <w:spacing w:before="75" w:after="75"/>
      </w:pPr>
      <w:r>
        <w:rPr>
          <w:rFonts w:ascii="Arial" w:hAnsi="Arial" w:cs="Arial"/>
          <w:sz w:val="20"/>
          <w:sz-cs w:val="20"/>
          <w:color w:val="333333"/>
        </w:rPr>
        <w:t xml:space="preserve"/>
      </w:r>
    </w:p>
    <w:p>
      <w:pPr/>
      <w:r>
        <w:rPr>
          <w:rFonts w:ascii="Arial" w:hAnsi="Arial" w:cs="Arial"/>
          <w:sz w:val="23"/>
          <w:sz-cs w:val="23"/>
          <w:b/>
        </w:rPr>
        <w:t xml:space="preserve">Производитель:</w:t>
      </w:r>
    </w:p>
    <w:p>
      <w:pPr/>
      <w:r>
        <w:rPr>
          <w:rFonts w:ascii="Arial" w:hAnsi="Arial" w:cs="Arial"/>
          <w:sz w:val="20"/>
          <w:sz-cs w:val="20"/>
        </w:rPr>
        <w:t xml:space="preserve">ООО " SPRING PHARMACEUTIC " СП Великобритания.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Arial" w:hAnsi="Arial" w:cs="Arial"/>
          <w:sz w:val="23"/>
          <w:sz-cs w:val="23"/>
          <w:b/>
        </w:rPr>
        <w:t xml:space="preserve">Местонахождение производителя и адрес места осуществления деятельности:</w:t>
      </w:r>
    </w:p>
    <w:p>
      <w:pPr/>
      <w:r>
        <w:rPr>
          <w:rFonts w:ascii="Arial" w:hAnsi="Arial" w:cs="Arial"/>
          <w:sz w:val="20"/>
          <w:sz-cs w:val="20"/>
        </w:rPr>
        <w:t xml:space="preserve">Республика  Узбекистан , Наманганская область, Касансайский район, Кукимбой, Навбахор МСГ, улица Булак, дом 129.  </w:t>
      </w:r>
    </w:p>
    <w:p>
      <w:pPr/>
      <w:r>
        <w:rPr>
          <w:rFonts w:ascii="Arial" w:hAnsi="Arial" w:cs="Arial"/>
          <w:sz w:val="20"/>
          <w:sz-cs w:val="20"/>
        </w:rPr>
        <w:t xml:space="preserve">Тел. : +998996942363</w:t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>
        <w:spacing w:before="75" w:after="75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</w:pPr>
      <w:r>
        <w:rPr>
          <w:rFonts w:ascii="Arial" w:hAnsi="Arial" w:cs="Arial"/>
          <w:sz w:val="20"/>
          <w:sz-cs w:val="20"/>
        </w:rPr>
        <w:t xml:space="preserve"/>
      </w:r>
    </w:p>
    <w:sectPr>
      <w:pgSz w:w="11900" w:h="16840"/>
      <w:pgMar w:top="1134" w:right="851" w:bottom="1134" w:left="1701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Hi-TECH</dc:creator>
</cp:coreProperties>
</file>

<file path=docProps/meta.xml><?xml version="1.0" encoding="utf-8"?>
<meta xmlns="http://schemas.apple.com/cocoa/2006/metadata">
  <generator>CocoaOOXMLWriter/2575.4</generator>
</meta>
</file>