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7EB3"/>
          <w:sz w:val="22"/>
        </w:rPr>
        <w:t>CLAUDE IMPLEMENTATION PROMPT</w:t>
      </w:r>
    </w:p>
    <w:p>
      <w:pPr>
        <w:jc w:val="center"/>
      </w:pPr>
      <w:r>
        <w:rPr>
          <w:b/>
          <w:color w:val="17365D"/>
          <w:sz w:val="50"/>
        </w:rPr>
        <w:t>Per-Subject Billing Plans &amp; Child Theme Palettes</w:t>
      </w:r>
    </w:p>
    <w:p>
      <w:pPr>
        <w:jc w:val="center"/>
      </w:pPr>
      <w:r>
        <w:rPr>
          <w:color w:val="595959"/>
          <w:sz w:val="23"/>
        </w:rPr>
        <w:t>Professional UX, persistence logic, pricing behavior, and profile personalization requirements</w:t>
      </w:r>
    </w:p>
    <w:tbl>
      <w:tblPr>
        <w:tblW w:type="auto" w:w="0"/>
        <w:jc w:val="center"/>
        <w:tblLook w:firstColumn="1" w:firstRow="1" w:lastColumn="0" w:lastRow="0" w:noHBand="0" w:noVBand="1" w:val="04A0"/>
      </w:tblPr>
      <w:tblGrid>
        <w:gridCol w:w="10080"/>
      </w:tblGrid>
      <w:tr>
        <w:tc>
          <w:tcPr>
            <w:tcW w:type="dxa" w:w="10080"/>
            <w:shd w:fill="EAF1FB"/>
            <w:tcMar>
              <w:top w:w="150" w:type="dxa"/>
              <w:start w:w="180" w:type="dxa"/>
              <w:bottom w:w="150" w:type="dxa"/>
              <w:end w:w="180" w:type="dxa"/>
            </w:tcMar>
          </w:tcPr>
          <w:p>
            <w:r>
              <w:rPr>
                <w:color w:val="1F4E79"/>
                <w:sz w:val="21"/>
              </w:rPr>
              <w:t>Use the attached pricing-page screenshot as the current-state reference. Preserve the product's overall visual language, but make the new functionality much clearer, more flexible, and more polished. Do not implement these changes as frontend-only mock behavior.</w:t>
            </w:r>
          </w:p>
        </w:tc>
      </w:tr>
    </w:tbl>
    <w:p/>
    <w:p>
      <w:pPr>
        <w:pStyle w:val="Heading1"/>
      </w:pPr>
      <w:r>
        <w:t>1. Separate billing plan for each selected subject</w:t>
      </w:r>
    </w:p>
    <w:p>
      <w:pPr>
        <w:pStyle w:val="ListBullet"/>
        <w:ind w:left="259" w:hanging="115"/>
      </w:pPr>
      <w:r>
        <w:t>The current pricing interface applies one payment cycle to all selected subjects. Replace this with independent billing configuration per subject.</w:t>
      </w:r>
    </w:p>
    <w:p>
      <w:pPr>
        <w:pStyle w:val="ListBullet"/>
        <w:ind w:left="259" w:hanging="115"/>
      </w:pPr>
      <w:r>
        <w:t>Example: Mathematics can be Weekly, Informatics can be Yearly, and Azerbaijani can be Monthly at the same time.</w:t>
      </w:r>
    </w:p>
    <w:p>
      <w:pPr>
        <w:pStyle w:val="ListBullet"/>
        <w:ind w:left="259" w:hanging="115"/>
      </w:pPr>
      <w:r>
        <w:t>Each selected subject must support the billing options Weekly, Monthly, and Yearly.</w:t>
      </w:r>
    </w:p>
    <w:p>
      <w:pPr>
        <w:pStyle w:val="ListBullet"/>
        <w:ind w:left="259" w:hanging="115"/>
      </w:pPr>
      <w:r>
        <w:t>Do not use a single global “Ödəniş dövrü” control for all selected subjects.</w:t>
      </w:r>
    </w:p>
    <w:p>
      <w:pPr>
        <w:pStyle w:val="ListBullet"/>
        <w:ind w:left="259" w:hanging="115"/>
      </w:pPr>
      <w:r>
        <w:t>Inside each selected-subject card, show the subject name, base/current price, selected billing cycle, calculated price for that cycle, and a remove action.</w:t>
      </w:r>
    </w:p>
    <w:p>
      <w:pPr>
        <w:pStyle w:val="ListBullet"/>
        <w:ind w:left="259" w:hanging="115"/>
      </w:pPr>
      <w:r>
        <w:t>Changing one subject’s billing plan must never alter the billing plan of another selected subject.</w:t>
      </w:r>
    </w:p>
    <w:p>
      <w:pPr>
        <w:pStyle w:val="ListBullet"/>
        <w:ind w:left="259" w:hanging="115"/>
      </w:pPr>
      <w:r>
        <w:t>The pricing summary should list each subject with its own cycle and price. If a single combined total would be misleading because the periods differ, show a clear breakdown instead of forcing one generic payment period.</w:t>
      </w:r>
    </w:p>
    <w:p>
      <w:pPr>
        <w:pStyle w:val="ListBullet"/>
        <w:ind w:left="259" w:hanging="115"/>
      </w:pPr>
      <w:r>
        <w:t>The selected billing plan must be stored separately for each subject in the underlying data model and backend logic.</w:t>
      </w:r>
    </w:p>
    <w:p>
      <w:pPr>
        <w:pStyle w:val="Heading1"/>
      </w:pPr>
      <w:r>
        <w:t>2. Improve the selected-subject pricing UI</w:t>
      </w:r>
    </w:p>
    <w:p>
      <w:pPr>
        <w:pStyle w:val="ListBullet"/>
        <w:ind w:left="259" w:hanging="115"/>
      </w:pPr>
      <w:r>
        <w:t>Redesign the selected-subject area so it remains easy to scan when the parent selects several subjects.</w:t>
      </w:r>
    </w:p>
    <w:p>
      <w:pPr>
        <w:pStyle w:val="ListBullet"/>
        <w:ind w:left="259" w:hanging="115"/>
      </w:pPr>
      <w:r>
        <w:t>Use strong hierarchy, compact controls, and obvious separation between subject name, plan, and price.</w:t>
      </w:r>
    </w:p>
    <w:p>
      <w:pPr>
        <w:pStyle w:val="ListBullet"/>
        <w:ind w:left="259" w:hanging="115"/>
      </w:pPr>
      <w:r>
        <w:t>A segmented control such as “Həftəlik / Aylıq / İllik” may be used inside each subject card.</w:t>
      </w:r>
    </w:p>
    <w:p>
      <w:pPr>
        <w:pStyle w:val="ListBullet"/>
        <w:ind w:left="259" w:hanging="115"/>
      </w:pPr>
      <w:r>
        <w:t>The interface should remain clean and understandable with 5+ selected subjects.</w:t>
      </w:r>
    </w:p>
    <w:p>
      <w:pPr>
        <w:pStyle w:val="ListBullet"/>
        <w:ind w:left="259" w:hanging="115"/>
      </w:pPr>
      <w:r>
        <w:t>Use smooth add/remove transitions and immediate price updates without full-page reloads.</w:t>
      </w:r>
    </w:p>
    <w:p>
      <w:pPr>
        <w:pStyle w:val="ListBullet"/>
        <w:ind w:left="259" w:hanging="115"/>
      </w:pPr>
      <w:r>
        <w:t>Use subtle micro-animations when the billing cycle changes, but keep the design premium and restrained.</w:t>
      </w:r>
    </w:p>
    <w:p>
      <w:pPr>
        <w:pStyle w:val="Heading1"/>
      </w:pPr>
      <w:r>
        <w:t>3. Expand child profile color palettes</w:t>
      </w:r>
    </w:p>
    <w:p>
      <w:pPr>
        <w:pStyle w:val="ListBullet"/>
        <w:ind w:left="259" w:hanging="115"/>
      </w:pPr>
      <w:r>
        <w:t>In the child profile under “Profilim”, increase the available theme/color palettes to more than 20 professionally designed options.</w:t>
      </w:r>
    </w:p>
    <w:p>
      <w:pPr>
        <w:pStyle w:val="ListBullet"/>
        <w:ind w:left="259" w:hanging="115"/>
      </w:pPr>
      <w:r>
        <w:t>Create a diverse collection such as Ocean Blue, Royal Indigo, Violet Dream, Lavender, Sakura, Coral, Sunset Orange, Amber, Emerald, Mint, Forest, Aqua, Cyan, Arctic, Sky, Navy, Graphite, Rose, Peach, Lime, Teal, Berry, Sand, and Aurora, plus additional polished options if useful.</w:t>
      </w:r>
    </w:p>
    <w:p>
      <w:pPr>
        <w:pStyle w:val="ListBullet"/>
        <w:ind w:left="259" w:hanging="115"/>
      </w:pPr>
      <w:r>
        <w:t>Each palette must define a complete UI theme rather than only one accent color.</w:t>
      </w:r>
    </w:p>
    <w:p>
      <w:pPr>
        <w:pStyle w:val="ListBullet"/>
        <w:ind w:left="259" w:hanging="115"/>
      </w:pPr>
      <w:r>
        <w:t>Each palette should include page background, cards, borders, primary and secondary accents, buttons, active navigation, text hierarchy, hover states, and focus states.</w:t>
      </w:r>
    </w:p>
    <w:p>
      <w:pPr>
        <w:pStyle w:val="ListBullet"/>
        <w:ind w:left="259" w:hanging="115"/>
      </w:pPr>
      <w:r>
        <w:t>Every palette must maintain good readability and sufficient contrast.</w:t>
      </w:r>
    </w:p>
    <w:p>
      <w:pPr>
        <w:pStyle w:val="Heading1"/>
      </w:pPr>
      <w:r>
        <w:t>4. Correct the interaction between palettes and Dark Mode</w:t>
      </w:r>
    </w:p>
    <w:p>
      <w:pPr>
        <w:pStyle w:val="ListBullet"/>
        <w:ind w:left="259" w:hanging="115"/>
      </w:pPr>
      <w:r>
        <w:t>Current behavior is incorrect: when a child selects a custom palette while Dark Mode is active, the interface remains dark and the selected palette only appears after returning to Light Mode.</w:t>
      </w:r>
    </w:p>
    <w:p>
      <w:pPr>
        <w:pStyle w:val="ListBullet"/>
        <w:ind w:left="259" w:hanging="115"/>
      </w:pPr>
      <w:r>
        <w:t>When the user selects any custom color palette, automatically disable Dark Mode and immediately apply the selected palette.</w:t>
      </w:r>
    </w:p>
    <w:p>
      <w:pPr>
        <w:pStyle w:val="ListBullet"/>
        <w:ind w:left="259" w:hanging="115"/>
      </w:pPr>
      <w:r>
        <w:t>Example flow: Dark Mode active → user opens Profilim → Rəng paleti → selects Aurora → Dark Mode is turned off automatically → Aurora is applied instantly across the child interface.</w:t>
      </w:r>
    </w:p>
    <w:p>
      <w:pPr>
        <w:pStyle w:val="ListBullet"/>
        <w:ind w:left="259" w:hanging="115"/>
      </w:pPr>
      <w:r>
        <w:t>The selected palette must persist after refresh, navigation, logout/login, and future sessions.</w:t>
      </w:r>
    </w:p>
    <w:p>
      <w:pPr>
        <w:pStyle w:val="ListBullet"/>
        <w:ind w:left="259" w:hanging="115"/>
      </w:pPr>
      <w:r>
        <w:t>If the user later enables Dark Mode manually, Dark Mode may temporarily override the custom palette, but it must not delete or reset the saved palette.</w:t>
      </w:r>
    </w:p>
    <w:p>
      <w:pPr>
        <w:pStyle w:val="ListBullet"/>
        <w:ind w:left="259" w:hanging="115"/>
      </w:pPr>
      <w:r>
        <w:t>When Dark Mode is turned off again, restore the previously selected custom palette automatically.</w:t>
      </w:r>
    </w:p>
    <w:p>
      <w:pPr>
        <w:pStyle w:val="ListBullet"/>
        <w:ind w:left="259" w:hanging="115"/>
      </w:pPr>
      <w:r>
        <w:t>Model these as two separate preferences: selectedPalette and darkModeEnabled. Selecting a palette sets selectedPalette to the chosen palette and darkModeEnabled to false.</w:t>
      </w:r>
    </w:p>
    <w:p>
      <w:pPr>
        <w:pStyle w:val="Heading1"/>
      </w:pPr>
      <w:r>
        <w:t>5. Improve the palette picker UI</w:t>
      </w:r>
    </w:p>
    <w:p>
      <w:pPr>
        <w:pStyle w:val="ListBullet"/>
        <w:ind w:left="259" w:hanging="115"/>
      </w:pPr>
      <w:r>
        <w:t>Do not display 20+ palettes as a long, messy list.</w:t>
      </w:r>
    </w:p>
    <w:p>
      <w:pPr>
        <w:pStyle w:val="ListBullet"/>
        <w:ind w:left="259" w:hanging="115"/>
      </w:pPr>
      <w:r>
        <w:t>Create a polished responsive palette picker grid.</w:t>
      </w:r>
    </w:p>
    <w:p>
      <w:pPr>
        <w:pStyle w:val="ListBullet"/>
        <w:ind w:left="259" w:hanging="115"/>
      </w:pPr>
      <w:r>
        <w:t>Each palette option may include the palette name, 3–5 small color-preview circles, a miniature UI preview, and a clear selected state.</w:t>
      </w:r>
    </w:p>
    <w:p>
      <w:pPr>
        <w:pStyle w:val="ListBullet"/>
        <w:ind w:left="259" w:hanging="115"/>
      </w:pPr>
      <w:r>
        <w:t>Use smooth hover and selection animations.</w:t>
      </w:r>
    </w:p>
    <w:p>
      <w:pPr>
        <w:pStyle w:val="ListBullet"/>
        <w:ind w:left="259" w:hanging="115"/>
      </w:pPr>
      <w:r>
        <w:t>The active palette should have an elegant border/check indicator.</w:t>
      </w:r>
    </w:p>
    <w:p>
      <w:pPr>
        <w:pStyle w:val="ListBullet"/>
        <w:ind w:left="259" w:hanging="115"/>
      </w:pPr>
      <w:r>
        <w:t>If useful, group palettes into categories such as Bright, Calm, Nature, Pastel, Bold, and Neutral.</w:t>
      </w:r>
    </w:p>
    <w:p>
      <w:pPr>
        <w:pStyle w:val="ListBullet"/>
        <w:ind w:left="259" w:hanging="115"/>
      </w:pPr>
      <w:r>
        <w:t>The experience should feel playful enough for a child profile while still looking like a professional commercial product.</w:t>
      </w:r>
    </w:p>
    <w:p>
      <w:pPr>
        <w:pStyle w:val="Heading1"/>
      </w:pPr>
      <w:r>
        <w:t>6. Persistence, state, and edge cases</w:t>
      </w:r>
    </w:p>
    <w:p>
      <w:pPr>
        <w:pStyle w:val="ListBullet"/>
        <w:ind w:left="259" w:hanging="115"/>
      </w:pPr>
      <w:r>
        <w:t>Update state management, user-preference storage, pricing calculations, validation, APIs, and persistence logic so the behavior survives page refreshes and future sessions.</w:t>
      </w:r>
    </w:p>
    <w:p>
      <w:pPr>
        <w:pStyle w:val="ListBullet"/>
        <w:ind w:left="259" w:hanging="115"/>
      </w:pPr>
      <w:r>
        <w:t>Review edge cases including removing a subject, changing its plan, adding it again, switching plans repeatedly, rapidly switching themes, toggling Dark Mode after selecting a palette, and restoring saved preferences after login.</w:t>
      </w:r>
    </w:p>
    <w:p>
      <w:pPr>
        <w:pStyle w:val="ListBullet"/>
        <w:ind w:left="259" w:hanging="115"/>
      </w:pPr>
      <w:r>
        <w:t>Ensure UI state and backend state remain synchronized at all times.</w:t>
      </w:r>
    </w:p>
    <w:p>
      <w:pPr>
        <w:pStyle w:val="ListBullet"/>
        <w:ind w:left="259" w:hanging="115"/>
      </w:pPr>
      <w:r>
        <w:t>Prevent stale totals, race conditions, duplicate selections, and inconsistent theme rendering.</w:t>
      </w:r>
    </w:p>
    <w:p>
      <w:pPr>
        <w:pStyle w:val="Heading1"/>
      </w:pPr>
      <w:r>
        <w:t>7. Design quality expectations</w:t>
      </w:r>
    </w:p>
    <w:p>
      <w:pPr>
        <w:pStyle w:val="ListBullet"/>
        <w:ind w:left="259" w:hanging="115"/>
      </w:pPr>
      <w:r>
        <w:t>Keep the existing visual identity, but increase clarity, spacing consistency, hierarchy, and perceived polish.</w:t>
      </w:r>
    </w:p>
    <w:p>
      <w:pPr>
        <w:pStyle w:val="ListBullet"/>
        <w:ind w:left="259" w:hanging="115"/>
      </w:pPr>
      <w:r>
        <w:t>Use professional loading states and micro-interactions where useful, without distracting motion.</w:t>
      </w:r>
    </w:p>
    <w:p>
      <w:pPr>
        <w:pStyle w:val="ListBullet"/>
        <w:ind w:left="259" w:hanging="115"/>
      </w:pPr>
      <w:r>
        <w:t>All controls should have clear hover, focus, disabled, selected, and loading states.</w:t>
      </w:r>
    </w:p>
    <w:p>
      <w:pPr>
        <w:pStyle w:val="ListBullet"/>
        <w:ind w:left="259" w:hanging="115"/>
      </w:pPr>
      <w:r>
        <w:t>Make the result responsive and comfortable on desktop and smaller screens.</w:t>
      </w:r>
    </w:p>
    <w:p>
      <w:pPr>
        <w:pStyle w:val="ListBullet"/>
        <w:ind w:left="259" w:hanging="115"/>
      </w:pPr>
      <w:r>
        <w:t>Prioritize accessibility, readable typography, contrast, keyboard focus visibility, and predictable interaction patterns.</w:t>
      </w:r>
    </w:p>
    <w:p>
      <w:pPr>
        <w:pStyle w:val="Heading1"/>
      </w:pPr>
      <w:r>
        <w:t>Example pricing behavior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vAlign w:val="center"/>
            <w:tcMar>
              <w:top w:w="100" w:type="dxa"/>
              <w:start w:w="120" w:type="dxa"/>
              <w:bottom w:w="100" w:type="dxa"/>
              <w:end w:w="120" w:type="dxa"/>
            </w:tcMar>
          </w:tcPr>
          <w:p>
            <w:r>
              <w:rPr>
                <w:b/>
                <w:color w:val="17365D"/>
              </w:rPr>
              <w:t>Subject</w:t>
            </w:r>
          </w:p>
        </w:tc>
        <w:tc>
          <w:tcPr>
            <w:tcW w:type="dxa" w:w="3360"/>
            <w:shd w:fill="D9E2F3"/>
            <w:vAlign w:val="center"/>
            <w:tcMar>
              <w:top w:w="100" w:type="dxa"/>
              <w:start w:w="120" w:type="dxa"/>
              <w:bottom w:w="100" w:type="dxa"/>
              <w:end w:w="120" w:type="dxa"/>
            </w:tcMar>
          </w:tcPr>
          <w:p>
            <w:r>
              <w:rPr>
                <w:b/>
                <w:color w:val="17365D"/>
              </w:rPr>
              <w:t>Billing plan</w:t>
            </w:r>
          </w:p>
        </w:tc>
        <w:tc>
          <w:tcPr>
            <w:tcW w:type="dxa" w:w="3360"/>
            <w:shd w:fill="D9E2F3"/>
            <w:vAlign w:val="center"/>
            <w:tcMar>
              <w:top w:w="100" w:type="dxa"/>
              <w:start w:w="120" w:type="dxa"/>
              <w:bottom w:w="100" w:type="dxa"/>
              <w:end w:w="120" w:type="dxa"/>
            </w:tcMar>
          </w:tcPr>
          <w:p>
            <w:r>
              <w:rPr>
                <w:b/>
                <w:color w:val="17365D"/>
              </w:rPr>
              <w:t>Displayed price</w:t>
            </w:r>
          </w:p>
        </w:tc>
      </w:tr>
      <w:tr>
        <w:tc>
          <w:tcPr>
            <w:tcW w:type="dxa" w:w="3360"/>
            <w:vAlign w:val="center"/>
            <w:tcMar>
              <w:top w:w="100" w:type="dxa"/>
              <w:start w:w="120" w:type="dxa"/>
              <w:bottom w:w="100" w:type="dxa"/>
              <w:end w:w="120" w:type="dxa"/>
            </w:tcMar>
          </w:tcPr>
          <w:p>
            <w:r>
              <w:t>Riyaziyyat</w:t>
            </w:r>
          </w:p>
        </w:tc>
        <w:tc>
          <w:tcPr>
            <w:tcW w:type="dxa" w:w="3360"/>
            <w:vAlign w:val="center"/>
            <w:tcMar>
              <w:top w:w="100" w:type="dxa"/>
              <w:start w:w="120" w:type="dxa"/>
              <w:bottom w:w="100" w:type="dxa"/>
              <w:end w:w="120" w:type="dxa"/>
            </w:tcMar>
          </w:tcPr>
          <w:p>
            <w:r>
              <w:t>Həftəlik</w:t>
            </w:r>
          </w:p>
        </w:tc>
        <w:tc>
          <w:tcPr>
            <w:tcW w:type="dxa" w:w="3360"/>
            <w:vAlign w:val="center"/>
            <w:tcMar>
              <w:top w:w="100" w:type="dxa"/>
              <w:start w:w="120" w:type="dxa"/>
              <w:bottom w:w="100" w:type="dxa"/>
              <w:end w:w="120" w:type="dxa"/>
            </w:tcMar>
          </w:tcPr>
          <w:p>
            <w:r>
              <w:t>Weekly calculated price</w:t>
            </w:r>
          </w:p>
        </w:tc>
      </w:tr>
      <w:tr>
        <w:tc>
          <w:tcPr>
            <w:tcW w:type="dxa" w:w="3360"/>
            <w:vAlign w:val="center"/>
            <w:tcMar>
              <w:top w:w="100" w:type="dxa"/>
              <w:start w:w="120" w:type="dxa"/>
              <w:bottom w:w="100" w:type="dxa"/>
              <w:end w:w="120" w:type="dxa"/>
            </w:tcMar>
          </w:tcPr>
          <w:p>
            <w:r>
              <w:t>İnformatika</w:t>
            </w:r>
          </w:p>
        </w:tc>
        <w:tc>
          <w:tcPr>
            <w:tcW w:type="dxa" w:w="3360"/>
            <w:vAlign w:val="center"/>
            <w:tcMar>
              <w:top w:w="100" w:type="dxa"/>
              <w:start w:w="120" w:type="dxa"/>
              <w:bottom w:w="100" w:type="dxa"/>
              <w:end w:w="120" w:type="dxa"/>
            </w:tcMar>
          </w:tcPr>
          <w:p>
            <w:r>
              <w:t>İllik</w:t>
            </w:r>
          </w:p>
        </w:tc>
        <w:tc>
          <w:tcPr>
            <w:tcW w:type="dxa" w:w="3360"/>
            <w:vAlign w:val="center"/>
            <w:tcMar>
              <w:top w:w="100" w:type="dxa"/>
              <w:start w:w="120" w:type="dxa"/>
              <w:bottom w:w="100" w:type="dxa"/>
              <w:end w:w="120" w:type="dxa"/>
            </w:tcMar>
          </w:tcPr>
          <w:p>
            <w:r>
              <w:t>Yearly calculated price</w:t>
            </w:r>
          </w:p>
        </w:tc>
      </w:tr>
      <w:tr>
        <w:tc>
          <w:tcPr>
            <w:tcW w:type="dxa" w:w="3360"/>
            <w:vAlign w:val="center"/>
            <w:tcMar>
              <w:top w:w="100" w:type="dxa"/>
              <w:start w:w="120" w:type="dxa"/>
              <w:bottom w:w="100" w:type="dxa"/>
              <w:end w:w="120" w:type="dxa"/>
            </w:tcMar>
          </w:tcPr>
          <w:p>
            <w:r>
              <w:t>Azərbaycan dili</w:t>
            </w:r>
          </w:p>
        </w:tc>
        <w:tc>
          <w:tcPr>
            <w:tcW w:type="dxa" w:w="3360"/>
            <w:vAlign w:val="center"/>
            <w:tcMar>
              <w:top w:w="100" w:type="dxa"/>
              <w:start w:w="120" w:type="dxa"/>
              <w:bottom w:w="100" w:type="dxa"/>
              <w:end w:w="120" w:type="dxa"/>
            </w:tcMar>
          </w:tcPr>
          <w:p>
            <w:r>
              <w:t>Aylıq</w:t>
            </w:r>
          </w:p>
        </w:tc>
        <w:tc>
          <w:tcPr>
            <w:tcW w:type="dxa" w:w="3360"/>
            <w:vAlign w:val="center"/>
            <w:tcMar>
              <w:top w:w="100" w:type="dxa"/>
              <w:start w:w="120" w:type="dxa"/>
              <w:bottom w:w="100" w:type="dxa"/>
              <w:end w:w="120" w:type="dxa"/>
            </w:tcMar>
          </w:tcPr>
          <w:p>
            <w:r>
              <w:t>Monthly calculated price</w:t>
            </w:r>
          </w:p>
        </w:tc>
      </w:tr>
    </w:tbl>
    <w:p/>
    <w:tbl>
      <w:tblPr>
        <w:tblW w:type="auto" w:w="0"/>
        <w:tblLook w:firstColumn="1" w:firstRow="1" w:lastColumn="0" w:lastRow="0" w:noHBand="0" w:noVBand="1" w:val="04A0"/>
      </w:tblPr>
      <w:tblGrid>
        <w:gridCol w:w="10080"/>
      </w:tblGrid>
      <w:tr>
        <w:tc>
          <w:tcPr>
            <w:tcW w:type="dxa" w:w="10080"/>
            <w:shd w:fill="E2F0D9"/>
            <w:tcMar>
              <w:top w:w="160" w:type="dxa"/>
              <w:start w:w="180" w:type="dxa"/>
              <w:bottom w:w="160" w:type="dxa"/>
              <w:end w:w="180" w:type="dxa"/>
            </w:tcMar>
          </w:tcPr>
          <w:p>
            <w:r>
              <w:rPr>
                <w:b/>
                <w:color w:val="375623"/>
              </w:rPr>
              <w:t>Final implementation rule: treat these requirements as product behavior, not a visual prototype. Update frontend, backend, validation, persistence, and data models together so the experience is reliable after refresh and across sessions.</w:t>
            </w:r>
          </w:p>
        </w:tc>
      </w:tr>
    </w:tbl>
    <w:p>
      <w:pPr>
        <w:jc w:val="center"/>
      </w:pPr>
      <w:r>
        <w:rPr>
          <w:i/>
          <w:color w:val="7F7F7F"/>
          <w:sz w:val="18"/>
        </w:rPr>
        <w:t>End of implementation specification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