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276" w:lineRule="auto"/>
        <w:jc w:val="center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44"/>
          <w:u w:val="none"/>
        </w:rPr>
        <w:t>刘小妍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u w:val="none"/>
        </w:rPr>
        <w:t>上海</w:t>
      </w:r>
      <w:r>
        <w:rPr>
          <w:rFonts w:eastAsia="宋体" w:ascii="Times New Roman" w:hAnsi="Times New Roman"/>
          <w:b w:val="0"/>
          <w:i w:val="0"/>
          <w:u w:val="none"/>
        </w:rPr>
        <w:t xml:space="preserve"> | 15921978601 | olina11151@outlook.com | 英语（工作语言）· 普通话（母语）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32"/>
          <w:u w:val="none"/>
        </w:rPr>
        <w:t>专业背景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跨境数字化转型 + 投资组合治理 + 数据合规的复合型IT项目群经理。核心稀缺性：在跨国矩阵组织中，以全球份额极小的业务实体身份构建商业论证、争取总部资源优先排期，并推动本地部署成为全球可复制模板。兼具P&amp;L/现金流出双维度IT预算治理与PIPL/GDPR双法域数据合规实操经验。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32"/>
          <w:u w:val="none"/>
        </w:rPr>
        <w:t>工作经历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28"/>
          <w:u w:val="none"/>
        </w:rPr>
        <w:t>BPCE Equipment Solutions（法国BPCE银行集团）| 2022/11 - 至今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u w:val="none"/>
        </w:rPr>
        <w:t>IT项目经理 | OPS/IT | 汇报：COO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中国区唯一全职PM，独立承担IT系统端到端交付与预算治理。</w:t>
      </w:r>
    </w:p>
    <w:p>
      <w:pPr>
        <w:ind w:left="714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 xml:space="preserve">•   </w:t>
      </w:r>
      <w:r>
        <w:rPr>
          <w:rFonts w:eastAsia="宋体" w:ascii="Times New Roman" w:hAnsi="Times New Roman"/>
          <w:b w:val="0"/>
          <w:i w:val="0"/>
          <w:u w:val="none"/>
        </w:rPr>
        <w:t>沉淀结构化知识库（决策框架、历史案例、业务规则）以赋能需求分析与商业论证构建，在竞争性成本分摊下将中国区核心需求定位为总部KPI加速器，成功争取优先排期与第二阶段资源承诺。中国成为全球首个完整上线实体，部署方案被采纳为全球可复制模板。</w:t>
      </w:r>
    </w:p>
    <w:p>
      <w:pPr>
        <w:ind w:left="714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 xml:space="preserve">•   </w:t>
      </w:r>
      <w:r>
        <w:rPr>
          <w:rFonts w:eastAsia="宋体" w:ascii="Times New Roman" w:hAnsi="Times New Roman"/>
          <w:b w:val="0"/>
          <w:i w:val="0"/>
          <w:u w:val="none"/>
        </w:rPr>
        <w:t>独立承担IT预算P&amp;L与现金流出双维度治理，以量化成本收益分析驱动总部优先级决策；推动70%运营成本削减路线图纳入HQ战略规划。</w:t>
      </w:r>
    </w:p>
    <w:p>
      <w:pPr>
        <w:ind w:left="714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 xml:space="preserve">•   </w:t>
      </w:r>
      <w:r>
        <w:rPr>
          <w:rFonts w:eastAsia="宋体" w:ascii="Times New Roman" w:hAnsi="Times New Roman"/>
          <w:b w:val="0"/>
          <w:i w:val="0"/>
          <w:u w:val="none"/>
        </w:rPr>
        <w:t>主导中国侧PIPL合规工作流：协同本地律师与HQ数据保护团队交付个人信息保护影响评估（PIPIA）与端到端数据映射，2年上线周期内持续维护PIPL + EU GDPR双法域对齐。</w:t>
      </w:r>
    </w:p>
    <w:p>
      <w:pPr>
        <w:ind w:left="714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 xml:space="preserve">•   </w:t>
      </w:r>
      <w:r>
        <w:rPr>
          <w:rFonts w:eastAsia="宋体" w:ascii="Times New Roman" w:hAnsi="Times New Roman"/>
          <w:b w:val="0"/>
          <w:i w:val="0"/>
          <w:u w:val="none"/>
        </w:rPr>
        <w:t>交付期间维持零关键生产缺陷、部署2月内100%业务利用率、中国银行监管环境下全程零合规违规。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28"/>
          <w:u w:val="none"/>
        </w:rPr>
        <w:t>NCR Corporation（安迅中国）| 2016/09 - 2022/11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u w:val="none"/>
        </w:rPr>
        <w:t>项目集经理 | PMO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管理$50M+ IT交付组合（大中华区15+并行项目），持有跨两大行业KA客户的独特组合视角。识别跨客户共性需求整合资源减少开发冗余，连续3年ROI排名亚太第一。20+次生产发布零重大部署失败，3年审计期零财务数据合规事故。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28"/>
          <w:u w:val="none"/>
        </w:rPr>
        <w:t>上海药明康德新药开发有限公司 | 2015/05 - 2016/08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u w:val="none"/>
        </w:rPr>
        <w:t>高级项目经理 | Commercial Operations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跨职能项目管理，在实验室数据共享与知识产权保护间建立平衡机制，以精益六西格玛框架驱动问题解决。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28"/>
          <w:u w:val="none"/>
        </w:rPr>
        <w:t>赫兹国际汽车租赁有限公司 | 2011/12 - 2015/04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u w:val="none"/>
        </w:rPr>
        <w:t>客户关怀主管 | 汇报：中国区总裁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通过全球协作开发首个标准化售后问题手册，建立供应商记分卡与SLA分析框架；以跨职能影响力驱动服务标准化落地。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32"/>
          <w:u w:val="none"/>
        </w:rPr>
        <w:t>教育背景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u w:val="none"/>
        </w:rPr>
        <w:t>伍伦贡大学</w:t>
      </w:r>
      <w:r>
        <w:rPr>
          <w:rFonts w:eastAsia="宋体" w:ascii="Times New Roman" w:hAnsi="Times New Roman"/>
          <w:b w:val="0"/>
          <w:i w:val="0"/>
          <w:u w:val="none"/>
        </w:rPr>
        <w:t xml:space="preserve"> (University of Wollongong) | 国际经济与贸易硕士 | 2010 - 2011</w:t>
      </w:r>
      <w:r>
        <w:rPr>
          <w:sz w:val="2"/>
        </w:rPr>
        <w:br/>
      </w:r>
      <w:r>
        <w:rPr>
          <w:rFonts w:eastAsia="宋体" w:ascii="Times New Roman" w:hAnsi="Times New Roman"/>
          <w:b w:val="0"/>
          <w:i w:val="0"/>
          <w:u w:val="none"/>
        </w:rPr>
        <w:br/>
      </w:r>
      <w:r>
        <w:rPr>
          <w:rFonts w:eastAsia="宋体" w:ascii="Times New Roman" w:hAnsi="Times New Roman"/>
          <w:b/>
          <w:i w:val="0"/>
          <w:u w:val="none"/>
        </w:rPr>
        <w:t>中央昆士兰大学</w:t>
      </w:r>
      <w:r>
        <w:rPr>
          <w:rFonts w:eastAsia="宋体" w:ascii="Times New Roman" w:hAnsi="Times New Roman"/>
          <w:b w:val="0"/>
          <w:i w:val="0"/>
          <w:u w:val="none"/>
        </w:rPr>
        <w:t xml:space="preserve"> (Central Queensland University) | 会计学学士 | 2008 - 2010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32"/>
          <w:u w:val="none"/>
        </w:rPr>
        <w:t>专业认证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PMP项目管理认证 (2017) · ITIL基础认证 (2021) · 精益六西格玛黄带 (2015) · AI应用工程师-初级（工信部）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