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76" w:lineRule="auto"/>
        <w:jc w:val="center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44"/>
          <w:u w:val="none"/>
        </w:rPr>
        <w:t>Olina Liu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Shanghai</w:t>
      </w:r>
      <w:r>
        <w:rPr>
          <w:rFonts w:eastAsia="宋体" w:ascii="Times New Roman" w:hAnsi="Times New Roman"/>
          <w:b w:val="0"/>
          <w:i w:val="0"/>
          <w:u w:val="none"/>
        </w:rPr>
        <w:t xml:space="preserve"> | +86 15921978601 | olina11151@outlook.com | English (business proficient) · Mandarin (native)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Professional Profile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Cross-border digital transformation, portfolio governance, and regulatory compliance — a composite IT program manager. Secured HQ engineering priority for a minimal-share business entity under competitive cost-allocation, then converted the local deployment into the global replicable template. Hands-on experience spans P&amp;L/cash-out dual-dimension IT budget governance and PIPL/GDPR dual-jurisdiction compliance.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Experience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BPCE Equipment Solutions (Groupe BPCE, France) | 2022/11 – Present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IT Project Manager, OPS/IT | Reports to: COO | Shanghai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Sole full-time PM for China operations. End-to-end ownership of IT system delivery and budget governance.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Built a structured PM knowledge base (decision frameworks, business rules, historical cases) to sharpen requirements analysis and business-case positioning, securing HQ engineering priority and Phase 2 funding commitment for China — the smallest global entity — under a competitive cost-allocation model. Delivered the first complete global go-live; deployment adopted as the replicable template worldwide.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Owned dual-dimension IT budget governance (P&amp;L + cash-out tracking) with quantified build-vs-benefit trade-offs driving HQ prioritization. Shaped the 70% operational cost reduction roadmap now embedded in HQ strategic planning.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Drove the China-side PIPL compliance workstream for overseas-hosted banking platforms: partnered with local legal counsel and HQ data protection teams to deliver the Personal Information Protection Impact Assessment (PIPIA) and end-to-end data mapping. Sustained PIPL + EU GDPR dual-jurisdiction alignment across the 2-year rollout cycle.</w:t>
      </w:r>
    </w:p>
    <w:p>
      <w:pPr>
        <w:ind w:left="714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 xml:space="preserve">•   </w:t>
      </w:r>
      <w:r>
        <w:rPr>
          <w:rFonts w:eastAsia="宋体" w:ascii="Times New Roman" w:hAnsi="Times New Roman"/>
          <w:b w:val="0"/>
          <w:i w:val="0"/>
          <w:u w:val="none"/>
        </w:rPr>
        <w:t>Zero critical production defects, 100% business adoption within 2 months of deployment, zero compliance incidents under China's banking regulatory environment.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NCR Corporation | 2016/09 – 2022/11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Program Manager, PMO | Shanghai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Managed a $50M+ IT delivery portfolio spanning 15+ concurrent projects across Greater China, with a cross-portfolio view covering two major industry KA clients. Consolidated shared requirements across accounts to reduce development redundancy. #1 APAC ROI three consecutive years. 20+ production releases with zero major deployment failures; three-year audit period with zero financial data compliance incidents.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WuXi AppTec | 2015/05 – 2016/08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Senior Project Manager, Commercial Operations | Shanghai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Led cross-functional projects balancing laboratory data-sharing requirements with IP protection standards. Applied Lean Six Sigma frameworks for structured problem-solving.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28"/>
          <w:u w:val="none"/>
        </w:rPr>
        <w:t>Hertz RAC | 2011/12 – 2015/04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Customer Care Supervisor | Reports to: China President (SVP) | Shanghai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Developed the first standardized after-sales issue handbook through global collaboration. Established vendor scorecard and SLA analysis frameworks, driving service standardization through cross-functional influence.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Education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u w:val="none"/>
        </w:rPr>
        <w:t>University of Wollongong</w:t>
      </w:r>
      <w:r>
        <w:rPr>
          <w:rFonts w:eastAsia="宋体" w:ascii="Times New Roman" w:hAnsi="Times New Roman"/>
          <w:b w:val="0"/>
          <w:i w:val="0"/>
          <w:u w:val="none"/>
        </w:rPr>
        <w:t xml:space="preserve"> | Master of International Business | 2010 – 2011</w:t>
      </w:r>
      <w:r>
        <w:rPr>
          <w:sz w:val="2"/>
        </w:rPr>
        <w:br/>
      </w:r>
      <w:r>
        <w:rPr>
          <w:rFonts w:eastAsia="宋体" w:ascii="Times New Roman" w:hAnsi="Times New Roman"/>
          <w:b w:val="0"/>
          <w:i w:val="0"/>
          <w:u w:val="none"/>
        </w:rPr>
        <w:br/>
      </w:r>
      <w:r>
        <w:rPr>
          <w:rFonts w:eastAsia="宋体" w:ascii="Times New Roman" w:hAnsi="Times New Roman"/>
          <w:b/>
          <w:i w:val="0"/>
          <w:u w:val="none"/>
        </w:rPr>
        <w:t>Central Queensland University</w:t>
      </w:r>
      <w:r>
        <w:rPr>
          <w:rFonts w:eastAsia="宋体" w:ascii="Times New Roman" w:hAnsi="Times New Roman"/>
          <w:b w:val="0"/>
          <w:i w:val="0"/>
          <w:u w:val="none"/>
        </w:rPr>
        <w:t xml:space="preserve"> | Bachelor of Accounting | 2008 – 2010</w:t>
      </w:r>
    </w:p>
    <w:p>
      <w:pPr>
        <w:spacing w:before="240" w:after="120" w:line="276" w:lineRule="auto"/>
      </w:pPr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/>
          <w:i w:val="0"/>
          <w:sz w:val="32"/>
          <w:u w:val="none"/>
        </w:rPr>
        <w:t>Certifications</w:t>
      </w:r>
    </w:p>
    <w:p>
      <w:r>
        <w:rPr>
          <w:rFonts w:eastAsia="宋体" w:ascii="Times New Roman" w:hAnsi="Times New Roman"/>
        </w:rPr>
      </w:r>
      <w:r>
        <w:rPr>
          <w:rFonts w:eastAsia="宋体" w:ascii="Times New Roman" w:hAnsi="Times New Roman"/>
          <w:b w:val="0"/>
          <w:i w:val="0"/>
          <w:u w:val="none"/>
        </w:rPr>
        <w:t>PMP (2017) · ITIL Foundation (2021) · Lean Six Sigma Yellow Belt (2015) · AI Application Engineer – Junior (MIIT)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