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276F3" w14:textId="77777777" w:rsidR="00202607" w:rsidRDefault="00000000">
      <w:pPr>
        <w:pStyle w:val="1"/>
      </w:pPr>
      <w:bookmarkStart w:id="0" w:name="olina-liu-刘小妍"/>
      <w:r>
        <w:t xml:space="preserve">Olina Liu </w:t>
      </w:r>
      <w:r>
        <w:rPr>
          <w:rFonts w:hint="eastAsia"/>
        </w:rPr>
        <w:t>(</w:t>
      </w:r>
      <w:r>
        <w:rPr>
          <w:rFonts w:hint="eastAsia"/>
        </w:rPr>
        <w:t>刘小妍</w:t>
      </w:r>
      <w:r>
        <w:rPr>
          <w:rFonts w:hint="eastAsia"/>
        </w:rPr>
        <w:t>)</w:t>
      </w:r>
    </w:p>
    <w:p w14:paraId="4A658528" w14:textId="44F8E824" w:rsidR="00202607" w:rsidRDefault="00000000" w:rsidP="00BB2EC5">
      <w:pPr>
        <w:pStyle w:val="FirstParagraph"/>
      </w:pPr>
      <w:r>
        <w:t>Shanghai, China | +86 159 2197 8601 | olina11151@outlook.com English (working) | Mandarin (native)</w:t>
      </w:r>
    </w:p>
    <w:p w14:paraId="33B21BF6" w14:textId="77777777" w:rsidR="00202607" w:rsidRDefault="00000000">
      <w:pPr>
        <w:pStyle w:val="2"/>
      </w:pPr>
      <w:bookmarkStart w:id="1" w:name="professional-summary"/>
      <w:r>
        <w:t>Professional Summary</w:t>
      </w:r>
    </w:p>
    <w:p w14:paraId="52E76A55" w14:textId="77777777" w:rsidR="00202607" w:rsidRDefault="00000000">
      <w:pPr>
        <w:pStyle w:val="FirstParagraph"/>
      </w:pPr>
      <w:r>
        <w:t>Senior IT Program Manager — 14 years in MNC China, cross-border transformation + regulatory-driven separation + $50M+ portfolio delivery.</w:t>
      </w:r>
    </w:p>
    <w:p w14:paraId="12E7210A" w14:textId="77777777" w:rsidR="00202607" w:rsidRPr="00BB2EC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Regulatory delivery</w:t>
      </w:r>
      <w:r>
        <w:t>: 6-year zero-violation record under Ch</w:t>
      </w:r>
      <w:r w:rsidRPr="00BB2EC5">
        <w:t>ina banking regulators; hands-on PIPL cross-border data transfer compliance.</w:t>
      </w:r>
    </w:p>
    <w:p w14:paraId="47EB2E29" w14:textId="77777777" w:rsidR="002026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Portfolio rationalization</w:t>
      </w:r>
      <w:r>
        <w:t>: $50M+ / 15+ concurrent proj</w:t>
      </w:r>
      <w:r w:rsidRPr="00BB2EC5">
        <w:t xml:space="preserve">ects at NCR; #1 in ROI among APAC program managers for 3 consecutive years. Single-source-of-truth view across </w:t>
      </w:r>
      <w:r>
        <w:t>ownership, dependencies, cost, and risk.</w:t>
      </w:r>
    </w:p>
    <w:p w14:paraId="2456B735" w14:textId="77777777" w:rsidR="00202607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Cross-team execution</w:t>
      </w:r>
      <w:r>
        <w:t>: Works directly with identity, infrastructure, security, network, and application teams; produces migration plans, decision logs, risk registers, cutover plans.</w:t>
      </w:r>
    </w:p>
    <w:p w14:paraId="2DBF3DB4" w14:textId="77777777" w:rsidR="00202607" w:rsidRDefault="00000000">
      <w:pPr>
        <w:pStyle w:val="FirstParagraph"/>
      </w:pPr>
      <w:r>
        <w:rPr>
          <w:b/>
          <w:bCs/>
        </w:rPr>
        <w:t>Certifications</w:t>
      </w:r>
      <w:r>
        <w:t>: PMP | ITIL Foundation | Lean Six Sigma Yellow Belt | LLM Applications Development Engineer (IITC, in progress) | AI Application Engineer (MIIT)</w:t>
      </w:r>
    </w:p>
    <w:p w14:paraId="1CAEE6E1" w14:textId="77777777" w:rsidR="00202607" w:rsidRDefault="00000000">
      <w:r>
        <w:pict w14:anchorId="75AA34D1">
          <v:rect id="_x0000_i1026" style="width:0;height:1.5pt" o:hralign="center" o:hrstd="t" o:hr="t"/>
        </w:pict>
      </w:r>
    </w:p>
    <w:p w14:paraId="7CDBF9F6" w14:textId="77777777" w:rsidR="00202607" w:rsidRDefault="00000000">
      <w:pPr>
        <w:pStyle w:val="2"/>
      </w:pPr>
      <w:bookmarkStart w:id="2" w:name="work-experience"/>
      <w:bookmarkEnd w:id="1"/>
      <w:r>
        <w:t>Work Experience</w:t>
      </w:r>
    </w:p>
    <w:p w14:paraId="1E11435D" w14:textId="77777777" w:rsidR="00202607" w:rsidRDefault="00000000">
      <w:pPr>
        <w:pStyle w:val="3"/>
      </w:pPr>
      <w:bookmarkStart w:id="3" w:name="X1c3541d797a0ca91ec4a14fcae6b67c996ac803"/>
      <w:r>
        <w:t>BPCE Equipment Solutions (BPCE Group, France) | Nov 2022 – Present</w:t>
      </w:r>
    </w:p>
    <w:p w14:paraId="1751F6F8" w14:textId="77777777" w:rsidR="00202607" w:rsidRDefault="00000000">
      <w:pPr>
        <w:pStyle w:val="FirstParagraph"/>
      </w:pPr>
      <w:r>
        <w:rPr>
          <w:b/>
          <w:bCs/>
        </w:rPr>
        <w:t>IT Project Manager, OPS/IT</w:t>
      </w:r>
      <w:r>
        <w:t xml:space="preserve"> — reports to COO | Sole full-time PM for China</w:t>
      </w:r>
    </w:p>
    <w:p w14:paraId="3E7C33B4" w14:textId="77777777" w:rsidR="002026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Separation of China systems from global HQ architecture</w:t>
      </w:r>
      <w:r>
        <w:t xml:space="preserve"> — Led BP</w:t>
      </w:r>
      <w:r w:rsidRPr="00BB2EC5">
        <w:t>CE’s first full localization go-live across all global entities, delivering 3 core systems (Quotation Tool, Origination, Database Infrastructure). Defined clear administrative boundaries between local and HQ operations; 100% business adoption within 2 months, zero critical defects, zero compliance violations. Secured Phase 2 HQ commitment; contributed to a 70% operational cost-reduction roadmap; China deployment adopted as the repli</w:t>
      </w:r>
      <w:r>
        <w:t>cable global template.</w:t>
      </w:r>
    </w:p>
    <w:p w14:paraId="3DD84F4A" w14:textId="77777777" w:rsidR="002026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PIPL cross-border data transfer compliance</w:t>
      </w:r>
      <w:r>
        <w:t xml:space="preserve"> — Deliv</w:t>
      </w:r>
      <w:r w:rsidRPr="00BB2EC5">
        <w:t>ered the Personal Information Protection Impact Assessment (PIPIA) and end-to-end data mapping for overseas-hosted banking platforms, partnering with local Chinese counsel and HQ data-protection teams. Sustained 2-year PIPL + EU GDPR d</w:t>
      </w:r>
      <w:r>
        <w:t>ual-jurisdiction alignment.</w:t>
      </w:r>
    </w:p>
    <w:p w14:paraId="2E66ADFD" w14:textId="77777777" w:rsidR="002026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Cross-entity alignment + HQ resource advocacy</w:t>
      </w:r>
      <w:r>
        <w:t xml:space="preserve"> — Drove requirement alignment across global subsidiaries to accelerate HQ development scheduling. Built business cases positioning China as an HQ-KPI accelerator, winning priority engineering resources despite China’s small revenue share.</w:t>
      </w:r>
    </w:p>
    <w:p w14:paraId="342D902A" w14:textId="77777777" w:rsidR="00202607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AI Governance in delivery</w:t>
      </w:r>
      <w:r>
        <w:t xml:space="preserve"> — Built a structured PM knowledge base so AI tools produce context-grounded, auditable outp</w:t>
      </w:r>
      <w:r w:rsidRPr="00BB2EC5">
        <w:t>uts; 20–25% delivery efficiency gains. Deepening</w:t>
      </w:r>
      <w:r>
        <w:t xml:space="preserve"> Gen-AI governance fluency via the LLM Applications Development Engineer program.</w:t>
      </w:r>
    </w:p>
    <w:p w14:paraId="53005926" w14:textId="77777777" w:rsidR="00202607" w:rsidRDefault="00000000">
      <w:pPr>
        <w:pStyle w:val="3"/>
      </w:pPr>
      <w:bookmarkStart w:id="4" w:name="ncr-corporation-sep-2016-nov-2022"/>
      <w:bookmarkEnd w:id="3"/>
      <w:r>
        <w:t>NCR Corporation | Sep 2016 – Nov 2022</w:t>
      </w:r>
    </w:p>
    <w:p w14:paraId="4F68E1FE" w14:textId="77777777" w:rsidR="00202607" w:rsidRDefault="00000000">
      <w:pPr>
        <w:pStyle w:val="FirstParagraph"/>
      </w:pPr>
      <w:r>
        <w:rPr>
          <w:b/>
          <w:bCs/>
        </w:rPr>
        <w:t>Program Manager, PMO</w:t>
      </w:r>
    </w:p>
    <w:p w14:paraId="05B2A94A" w14:textId="77777777" w:rsidR="00202607" w:rsidRPr="00BB2EC5" w:rsidRDefault="00000000">
      <w:pPr>
        <w:pStyle w:val="Compact"/>
        <w:numPr>
          <w:ilvl w:val="0"/>
          <w:numId w:val="4"/>
        </w:numPr>
      </w:pPr>
      <w:r>
        <w:t>Ma</w:t>
      </w:r>
      <w:r w:rsidRPr="00BB2EC5">
        <w:t>naged $50M+ IT delivery portfolio / 15+ concurr</w:t>
      </w:r>
      <w:r>
        <w:t>ent projects across Mainland China, Hong Kong, and Taiwan via hybrid agile-water</w:t>
      </w:r>
      <w:r w:rsidRPr="00BB2EC5">
        <w:t>fall. #1 ROI among APAC program managers for 3 consecutive years (2019–2021) through cross-portfolio consolidation, reduced development redundancy, and reuse of existing IT assets.</w:t>
      </w:r>
    </w:p>
    <w:p w14:paraId="32153175" w14:textId="77777777" w:rsidR="00202607" w:rsidRPr="00BB2EC5" w:rsidRDefault="00000000">
      <w:pPr>
        <w:pStyle w:val="Compact"/>
        <w:numPr>
          <w:ilvl w:val="0"/>
          <w:numId w:val="4"/>
        </w:numPr>
      </w:pPr>
      <w:r>
        <w:lastRenderedPageBreak/>
        <w:t>Led EPM system</w:t>
      </w:r>
      <w:r w:rsidRPr="00BB2EC5">
        <w:t xml:space="preserve"> China go-live: 30% labor savings, 95% adoption in 3 months, zero data-migration incidents.</w:t>
      </w:r>
    </w:p>
    <w:p w14:paraId="72172A78" w14:textId="77777777" w:rsidR="00202607" w:rsidRDefault="00000000">
      <w:pPr>
        <w:pStyle w:val="Compact"/>
        <w:numPr>
          <w:ilvl w:val="0"/>
          <w:numId w:val="4"/>
        </w:numPr>
      </w:pPr>
      <w:r w:rsidRPr="00BB2EC5">
        <w:t xml:space="preserve">Owned YUM China service-operations transition: 5% depot savings, 20% labor cost reduction; playbook replicated across 3 additional accounts. Zero major deployment </w:t>
      </w:r>
      <w:r>
        <w:t>failures across 20+ releases; zero financial-data compliance incidents over a 3-year audit period.</w:t>
      </w:r>
    </w:p>
    <w:p w14:paraId="7DC53D0B" w14:textId="77777777" w:rsidR="00202607" w:rsidRDefault="00000000">
      <w:pPr>
        <w:pStyle w:val="3"/>
      </w:pPr>
      <w:bookmarkStart w:id="5" w:name="wuxi-apptec-may-2015-aug-2016"/>
      <w:bookmarkEnd w:id="4"/>
      <w:r>
        <w:t>WuXi AppTec | May 2015 – Aug 2016</w:t>
      </w:r>
    </w:p>
    <w:p w14:paraId="12C3CE27" w14:textId="77777777" w:rsidR="00202607" w:rsidRDefault="00000000">
      <w:pPr>
        <w:pStyle w:val="FirstParagraph"/>
      </w:pPr>
      <w:r>
        <w:rPr>
          <w:b/>
          <w:bCs/>
        </w:rPr>
        <w:t>Senior Project Manager, Commercial Operations</w:t>
      </w:r>
      <w:r>
        <w:t xml:space="preserve"> — Cross-functional lab-services delivery balancing data-sharing against IP protection; established Lean Six Sigma problem-resolution framework.</w:t>
      </w:r>
    </w:p>
    <w:p w14:paraId="7CC86B15" w14:textId="77777777" w:rsidR="00202607" w:rsidRDefault="00000000">
      <w:pPr>
        <w:pStyle w:val="3"/>
      </w:pPr>
      <w:bookmarkStart w:id="6" w:name="hertz-rac-dec-2011-apr-2015"/>
      <w:bookmarkEnd w:id="5"/>
      <w:r>
        <w:t>Hertz RAC | Dec 2011 – Apr 2015</w:t>
      </w:r>
    </w:p>
    <w:p w14:paraId="2FC0F852" w14:textId="77777777" w:rsidR="00202607" w:rsidRDefault="00000000">
      <w:pPr>
        <w:pStyle w:val="FirstParagraph"/>
      </w:pPr>
      <w:r>
        <w:rPr>
          <w:b/>
          <w:bCs/>
        </w:rPr>
        <w:t>Customer Care Supervisor</w:t>
      </w:r>
      <w:r>
        <w:t xml:space="preserve"> — reports to China SVP, team of 7. Led team restructuring during M&amp;A integration; co-developed the company’s first standardized after-service handbook; built vendor scorecard and SLA analytics framework.</w:t>
      </w:r>
    </w:p>
    <w:p w14:paraId="190326A7" w14:textId="77777777" w:rsidR="00202607" w:rsidRDefault="00000000">
      <w:r>
        <w:pict w14:anchorId="1DB93754">
          <v:rect id="_x0000_i1027" style="width:0;height:1.5pt" o:hralign="center" o:hrstd="t" o:hr="t"/>
        </w:pict>
      </w:r>
    </w:p>
    <w:p w14:paraId="28EE8560" w14:textId="77777777" w:rsidR="00202607" w:rsidRDefault="00000000">
      <w:pPr>
        <w:pStyle w:val="2"/>
      </w:pPr>
      <w:bookmarkStart w:id="7" w:name="education"/>
      <w:bookmarkEnd w:id="2"/>
      <w:bookmarkEnd w:id="6"/>
      <w:r>
        <w:t>Education</w:t>
      </w:r>
    </w:p>
    <w:p w14:paraId="617F69E6" w14:textId="77777777" w:rsidR="00202607" w:rsidRDefault="00000000">
      <w:pPr>
        <w:pStyle w:val="FirstParagraph"/>
      </w:pPr>
      <w:r>
        <w:t>University of</w:t>
      </w:r>
      <w:r w:rsidRPr="00BB2EC5">
        <w:t xml:space="preserve"> Wollongong, Australia — Master of International Business</w:t>
      </w:r>
      <w:r>
        <w:t xml:space="preserve"> | 2010 – 2011 Central Queensland University, Australia — Bachelor of Accounting | 2008 – 2010 Hunan Jishou University — Bachelor of Economics | 2004 – 2008</w:t>
      </w:r>
      <w:bookmarkEnd w:id="0"/>
      <w:bookmarkEnd w:id="7"/>
    </w:p>
    <w:sectPr w:rsidR="00202607">
      <w:footnotePr>
        <w:numRestart w:val="eachSect"/>
      </w:footnotePr>
      <w:pgSz w:w="12240" w:h="15840"/>
      <w:pgMar w:top="907" w:right="1020" w:bottom="907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C9630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F1096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15640992">
    <w:abstractNumId w:val="0"/>
  </w:num>
  <w:num w:numId="2" w16cid:durableId="1407072335">
    <w:abstractNumId w:val="1"/>
  </w:num>
  <w:num w:numId="3" w16cid:durableId="1335956541">
    <w:abstractNumId w:val="1"/>
  </w:num>
  <w:num w:numId="4" w16cid:durableId="14144734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2607"/>
    <w:rsid w:val="00202607"/>
    <w:rsid w:val="00312D1C"/>
    <w:rsid w:val="00BB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655C09"/>
  <w15:docId w15:val="{5BD427EA-EAB3-4C0C-9466-A8334A8C3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60" w:line="300" w:lineRule="auto"/>
    </w:pPr>
    <w:rPr>
      <w:rFonts w:ascii="Calibri" w:eastAsia="微软雅黑" w:hAnsi="Calibri" w:cs="Calibri"/>
      <w:sz w:val="21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after="80" w:line="276" w:lineRule="auto"/>
      <w:jc w:val="center"/>
      <w:outlineLvl w:val="0"/>
    </w:pPr>
    <w:rPr>
      <w:rFonts w:asciiTheme="majorHAnsi" w:eastAsiaTheme="majorEastAsia" w:hAnsiTheme="majorHAnsi" w:cstheme="majorBidi"/>
      <w:b/>
      <w:color w:val="1F3864"/>
      <w:sz w:val="44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pBdr>
        <w:bottom w:val="single" w:sz="6" w:space="2" w:color="2E75B6"/>
      </w:pBdr>
      <w:spacing w:before="280" w:after="80" w:line="276" w:lineRule="auto"/>
      <w:outlineLvl w:val="1"/>
    </w:pPr>
    <w:rPr>
      <w:rFonts w:asciiTheme="majorHAnsi" w:eastAsiaTheme="majorEastAsia" w:hAnsiTheme="majorHAnsi" w:cstheme="majorBidi"/>
      <w:b/>
      <w:color w:val="2E75B6"/>
      <w:sz w:val="26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200" w:after="40" w:line="276" w:lineRule="auto"/>
      <w:outlineLvl w:val="2"/>
    </w:pPr>
    <w:rPr>
      <w:rFonts w:eastAsiaTheme="majorEastAsia" w:cstheme="majorBidi"/>
      <w:b/>
      <w:color w:val="444444"/>
      <w:sz w:val="24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160" w:after="40" w:line="276" w:lineRule="auto"/>
      <w:outlineLvl w:val="3"/>
    </w:pPr>
    <w:rPr>
      <w:rFonts w:eastAsiaTheme="majorEastAsia" w:cstheme="majorBidi"/>
      <w:b/>
      <w:i/>
      <w:iCs/>
      <w:color w:val="444444"/>
      <w:sz w:val="22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after="4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 w:line="276" w:lineRule="auto"/>
      <w:contextualSpacing/>
      <w:jc w:val="center"/>
    </w:pPr>
    <w:rPr>
      <w:rFonts w:asciiTheme="majorHAnsi" w:eastAsiaTheme="majorEastAsia" w:hAnsiTheme="majorHAnsi" w:cstheme="majorBidi"/>
      <w:b/>
      <w:color w:val="1F3864"/>
      <w:sz w:val="44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526</Words>
  <Characters>3419</Characters>
  <Application>Microsoft Office Word</Application>
  <DocSecurity>0</DocSecurity>
  <Lines>53</Lines>
  <Paragraphs>29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小妍 刘</cp:lastModifiedBy>
  <cp:revision>2</cp:revision>
  <dcterms:created xsi:type="dcterms:W3CDTF">2026-04-19T01:57:00Z</dcterms:created>
  <dcterms:modified xsi:type="dcterms:W3CDTF">2026-04-19T01:59:00Z</dcterms:modified>
</cp:coreProperties>
</file>