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8D95" w14:textId="77777777" w:rsidR="001C361A" w:rsidRDefault="00000000">
      <w:pPr>
        <w:pStyle w:val="1"/>
      </w:pPr>
      <w:bookmarkStart w:id="0" w:name="olina-liu-刘小妍"/>
      <w:r>
        <w:t xml:space="preserve">Olina Liu </w:t>
      </w:r>
      <w:r>
        <w:rPr>
          <w:rFonts w:hint="eastAsia"/>
        </w:rPr>
        <w:t>(</w:t>
      </w:r>
      <w:r>
        <w:rPr>
          <w:rFonts w:hint="eastAsia"/>
        </w:rPr>
        <w:t>刘小妍</w:t>
      </w:r>
      <w:r>
        <w:rPr>
          <w:rFonts w:hint="eastAsia"/>
        </w:rPr>
        <w:t>)</w:t>
      </w:r>
    </w:p>
    <w:p w14:paraId="5E895FA0" w14:textId="1080079B" w:rsidR="001C361A" w:rsidRDefault="00000000">
      <w:pPr>
        <w:pStyle w:val="FirstParagraph"/>
      </w:pPr>
      <w:r>
        <w:t>Shanghai, China (open to travel) | +86 159 2197 8601 | olina11151@outlook.com English (working) | Mandarin (native)</w:t>
      </w:r>
    </w:p>
    <w:p w14:paraId="57265670" w14:textId="77777777" w:rsidR="001C361A" w:rsidRDefault="00000000">
      <w:r>
        <w:pict w14:anchorId="60AA9823">
          <v:rect id="_x0000_i1038" style="width:0;height:1.5pt" o:hralign="center" o:hrstd="t" o:hr="t"/>
        </w:pict>
      </w:r>
    </w:p>
    <w:p w14:paraId="74CEF44E" w14:textId="77777777" w:rsidR="001C361A" w:rsidRDefault="00000000">
      <w:pPr>
        <w:pStyle w:val="2"/>
      </w:pPr>
      <w:bookmarkStart w:id="1" w:name="professional-summary"/>
      <w:r>
        <w:t>Professional Summary</w:t>
      </w:r>
    </w:p>
    <w:p w14:paraId="427F4A93" w14:textId="77777777" w:rsidR="001C361A" w:rsidRDefault="00000000">
      <w:pPr>
        <w:pStyle w:val="FirstParagraph"/>
      </w:pPr>
      <w:r>
        <w:t xml:space="preserve">Senior IT Program / Implementation Manager — 14 years delivering enterprise go-lives and post-implementation stabilization for European and American MNCs in China, including a French banking group subsidiary. Single point of contact across business, technology, and third-party teams for implementation planning, cutover, hypercare, and Steering Committee reporting. Track record: </w:t>
      </w:r>
      <w:r>
        <w:rPr>
          <w:b/>
          <w:bCs/>
        </w:rPr>
        <w:t>zero critical defects at global-first go-live</w:t>
      </w:r>
      <w:r>
        <w:t xml:space="preserve">, </w:t>
      </w:r>
      <w:r>
        <w:rPr>
          <w:b/>
          <w:bCs/>
        </w:rPr>
        <w:t>20+ production releases with zero major deployment failure</w:t>
      </w:r>
      <w:r>
        <w:t xml:space="preserve">, </w:t>
      </w:r>
      <w:r>
        <w:rPr>
          <w:b/>
          <w:bCs/>
        </w:rPr>
        <w:t>zero data-migration incidents</w:t>
      </w:r>
      <w:r>
        <w:t xml:space="preserve">, and </w:t>
      </w:r>
      <w:r>
        <w:rPr>
          <w:b/>
          <w:bCs/>
        </w:rPr>
        <w:t>3-year audit period with zero compliance incidents</w:t>
      </w:r>
      <w:r>
        <w:t>.</w:t>
      </w:r>
    </w:p>
    <w:p w14:paraId="079E8B83" w14:textId="1AB0812E" w:rsidR="001C361A" w:rsidRDefault="00000000" w:rsidP="007D7B22">
      <w:pPr>
        <w:pStyle w:val="a0"/>
        <w:rPr>
          <w:rFonts w:hint="eastAsia"/>
        </w:rPr>
      </w:pPr>
      <w:r>
        <w:rPr>
          <w:b/>
          <w:bCs/>
        </w:rPr>
        <w:t>Certifications</w:t>
      </w:r>
      <w:r>
        <w:t>: PMP | ITIL Foundation | Lean Six Sigma Yellow Belt | LLM Applications Development Engineer (IITC, in progress) | AI Application Engineer (MIIT)</w:t>
      </w:r>
    </w:p>
    <w:p w14:paraId="685ADB1B" w14:textId="77777777" w:rsidR="001C361A" w:rsidRDefault="00000000">
      <w:pPr>
        <w:pStyle w:val="2"/>
      </w:pPr>
      <w:bookmarkStart w:id="2" w:name="work-experience"/>
      <w:bookmarkEnd w:id="1"/>
      <w:r>
        <w:t>Work Experience</w:t>
      </w:r>
    </w:p>
    <w:p w14:paraId="009495B2" w14:textId="77777777" w:rsidR="001C361A" w:rsidRDefault="00000000">
      <w:pPr>
        <w:pStyle w:val="3"/>
      </w:pPr>
      <w:bookmarkStart w:id="3" w:name="X1c3541d797a0ca91ec4a14fcae6b67c996ac803"/>
      <w:r>
        <w:t>BPCE Equipment Solutions (BPCE Group, France) | Nov 2022 – Present</w:t>
      </w:r>
    </w:p>
    <w:p w14:paraId="5F3F7CF1" w14:textId="77777777" w:rsidR="001C361A" w:rsidRDefault="00000000">
      <w:pPr>
        <w:pStyle w:val="FirstParagraph"/>
      </w:pPr>
      <w:r>
        <w:rPr>
          <w:b/>
          <w:bCs/>
        </w:rPr>
        <w:t>IT Project Manager, OPS/IT</w:t>
      </w:r>
      <w:r>
        <w:t xml:space="preserve"> — reports to COO | Sole full-time IT PM for China</w:t>
      </w:r>
    </w:p>
    <w:p w14:paraId="21A91AFF" w14:textId="77777777" w:rsidR="001C361A" w:rsidRPr="007D7B2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Owned end-to-end delivery of 3 core business systems</w:t>
      </w:r>
      <w:r>
        <w:t xml:space="preserve"> (business quotation system, deal approval system, and database) — from business case, phased deployment planning, UAT, go-live cutover, through run-state handover; concurrently governed dual-dimen</w:t>
      </w:r>
      <w:r w:rsidRPr="007D7B22">
        <w:t>sion IT budget (P&amp;L + cash-out).</w:t>
      </w:r>
    </w:p>
    <w:p w14:paraId="6F7D67B9" w14:textId="77777777" w:rsidR="001C36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BPCE Group’s first full global-entity go-live</w:t>
      </w:r>
      <w:r>
        <w:t xml:space="preserve"> —</w:t>
      </w:r>
      <w:r w:rsidRPr="007D7B22">
        <w:t xml:space="preserve"> Zero critical production defects, 100% business adoption within 2 months; adopted as the replicable global template for subsequent entities; secured Phase 2 HQ funding and drove a ~70% operational cost-reduction roadmap</w:t>
      </w:r>
      <w:r>
        <w:t>.</w:t>
      </w:r>
    </w:p>
    <w:p w14:paraId="3901222A" w14:textId="77777777" w:rsidR="001C36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Implementation readiness &amp; post-go-live hypercare</w:t>
      </w:r>
      <w:r>
        <w:t xml:space="preserve"> — Defined go-live readiness gate, led pre-cutover dry-runs across business and IT workstreams, ran 2-month hypercare with incident triage, stabilization, and BAU handover.</w:t>
      </w:r>
    </w:p>
    <w:p w14:paraId="7B8865C5" w14:textId="77777777" w:rsidR="001C361A" w:rsidRPr="007D7B2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PIPL cross-border compliance (2-year rollout)</w:t>
      </w:r>
      <w:r>
        <w:t xml:space="preserve"> — D</w:t>
      </w:r>
      <w:r w:rsidRPr="007D7B22">
        <w:t>elivered PIPIA and end-to-end data mapping; sustained PIPL + EU GDPR dual-jurisdiction alignment with local counsel and HQ data-protection teams. Zero compliance violations under China banking regulators.</w:t>
      </w:r>
    </w:p>
    <w:p w14:paraId="3AB51F77" w14:textId="77777777" w:rsidR="001C361A" w:rsidRDefault="00000000">
      <w:pPr>
        <w:pStyle w:val="3"/>
      </w:pPr>
      <w:bookmarkStart w:id="4" w:name="ncr-corporation-sep-2016-nov-2022"/>
      <w:bookmarkEnd w:id="3"/>
      <w:r>
        <w:t>NCR Corporation | Sep 2016 – Nov 2022</w:t>
      </w:r>
    </w:p>
    <w:p w14:paraId="5184FD75" w14:textId="77777777" w:rsidR="001C361A" w:rsidRDefault="00000000">
      <w:pPr>
        <w:pStyle w:val="FirstParagraph"/>
      </w:pPr>
      <w:r>
        <w:rPr>
          <w:b/>
          <w:bCs/>
        </w:rPr>
        <w:t>Program Manager, PMO</w:t>
      </w:r>
    </w:p>
    <w:p w14:paraId="75FC5A8D" w14:textId="77777777" w:rsidR="001C361A" w:rsidRPr="007D7B22" w:rsidRDefault="00000000">
      <w:pPr>
        <w:pStyle w:val="Compact"/>
        <w:numPr>
          <w:ilvl w:val="0"/>
          <w:numId w:val="3"/>
        </w:numPr>
      </w:pPr>
      <w:r>
        <w:t>M</w:t>
      </w:r>
      <w:r w:rsidRPr="007D7B22">
        <w:t>anaged $50M+ IT delivery portfolio / 15+ concurrent initiatives across Mainland China, HK, and Taiwan via hybrid agile–waterfall. 20+ production releases with zero major deployment failure; zero financial-data compliance incidents over a 3-year audit period; #1 ROI among APAC program managers for 3 consecutive years (2019–2021).</w:t>
      </w:r>
    </w:p>
    <w:p w14:paraId="6D2AC663" w14:textId="77777777" w:rsidR="001C361A" w:rsidRPr="007D7B22" w:rsidRDefault="00000000">
      <w:pPr>
        <w:pStyle w:val="Compact"/>
        <w:numPr>
          <w:ilvl w:val="0"/>
          <w:numId w:val="3"/>
        </w:numPr>
      </w:pPr>
      <w:r w:rsidRPr="007D7B22">
        <w:t>Led enterprise system go-live for EPM (China) — Zero data-migration incidents, zero business impact, 95% user adoption within 3 months.</w:t>
      </w:r>
    </w:p>
    <w:p w14:paraId="1D09A4D9" w14:textId="77777777" w:rsidR="001C361A" w:rsidRPr="007D7B22" w:rsidRDefault="00000000">
      <w:pPr>
        <w:pStyle w:val="Compact"/>
        <w:numPr>
          <w:ilvl w:val="0"/>
          <w:numId w:val="3"/>
        </w:numPr>
      </w:pPr>
      <w:r w:rsidRPr="007D7B22">
        <w:lastRenderedPageBreak/>
        <w:t>Single point of contact across business, IT, and third-party vendors — Owned WBS and dependency mapping; SME in RFP and QBR forums; ran vendor scorecards and SLA analytics.</w:t>
      </w:r>
    </w:p>
    <w:p w14:paraId="1605ED6E" w14:textId="77777777" w:rsidR="001C361A" w:rsidRDefault="00000000">
      <w:pPr>
        <w:pStyle w:val="3"/>
      </w:pPr>
      <w:bookmarkStart w:id="5" w:name="wuxi-apptec-may-2015-aug-2016"/>
      <w:bookmarkEnd w:id="4"/>
      <w:r>
        <w:t>WuXi AppTec | May 2015 – Aug 2016</w:t>
      </w:r>
    </w:p>
    <w:p w14:paraId="7C724B35" w14:textId="77777777" w:rsidR="001C361A" w:rsidRPr="007D7B22" w:rsidRDefault="00000000">
      <w:pPr>
        <w:pStyle w:val="FirstParagraph"/>
      </w:pPr>
      <w:r w:rsidRPr="007D7B22">
        <w:t>Senior Project Manager, Commercial Operations — Cross-functional lab-services program management; established Lean Six Sigma problem-resolution framework.</w:t>
      </w:r>
    </w:p>
    <w:p w14:paraId="47BC1D93" w14:textId="77777777" w:rsidR="001C361A" w:rsidRDefault="00000000">
      <w:pPr>
        <w:pStyle w:val="3"/>
      </w:pPr>
      <w:bookmarkStart w:id="6" w:name="hertz-rac-dec-2011-apr-2015"/>
      <w:bookmarkEnd w:id="5"/>
      <w:r>
        <w:t>Hertz RAC | Dec 2011 – Apr 2015</w:t>
      </w:r>
    </w:p>
    <w:p w14:paraId="7B5A9D28" w14:textId="5DB6D680" w:rsidR="001C361A" w:rsidRDefault="00000000" w:rsidP="007D7B22">
      <w:pPr>
        <w:pStyle w:val="FirstParagraph"/>
        <w:rPr>
          <w:rFonts w:hint="eastAsia"/>
        </w:rPr>
      </w:pPr>
      <w:r w:rsidRPr="007D7B22">
        <w:t>Customer Care Supervisor — reports to China SVP, team of 7. Led team restructuring during M&amp;A integration; built the company’s first standardized after-servi</w:t>
      </w:r>
      <w:r>
        <w:t>ce handbook and vendor scorecard / SLA analytics framework.</w:t>
      </w:r>
    </w:p>
    <w:p w14:paraId="5E4C0CAD" w14:textId="77777777" w:rsidR="001C361A" w:rsidRDefault="00000000">
      <w:pPr>
        <w:pStyle w:val="2"/>
      </w:pPr>
      <w:bookmarkStart w:id="7" w:name="education"/>
      <w:bookmarkEnd w:id="2"/>
      <w:bookmarkEnd w:id="6"/>
      <w:r>
        <w:t>Education</w:t>
      </w:r>
    </w:p>
    <w:p w14:paraId="13A08397" w14:textId="3C15E674" w:rsidR="007D7B22" w:rsidRDefault="00000000">
      <w:pPr>
        <w:pStyle w:val="FirstParagraph"/>
      </w:pPr>
      <w:r>
        <w:t>University of Wollo</w:t>
      </w:r>
      <w:r w:rsidRPr="007D7B22">
        <w:t xml:space="preserve">ngong, Australia — Master of International Business </w:t>
      </w:r>
      <w:r w:rsidR="007D7B22">
        <w:t>|</w:t>
      </w:r>
      <w:r w:rsidRPr="007D7B22">
        <w:t>2010 – 2</w:t>
      </w:r>
      <w:r>
        <w:t xml:space="preserve">011 </w:t>
      </w:r>
    </w:p>
    <w:p w14:paraId="6040FE37" w14:textId="77777777" w:rsidR="007D7B22" w:rsidRDefault="00000000">
      <w:pPr>
        <w:pStyle w:val="FirstParagraph"/>
      </w:pPr>
      <w:r>
        <w:t xml:space="preserve">Central Queensland University, Australia — Bachelor of Accounting | 2008 – 2010 </w:t>
      </w:r>
    </w:p>
    <w:p w14:paraId="268F4083" w14:textId="0FE506C2" w:rsidR="001C361A" w:rsidRDefault="00000000">
      <w:pPr>
        <w:pStyle w:val="FirstParagraph"/>
      </w:pPr>
      <w:r>
        <w:t>Hunan Jishou University — Bachelor of Economics | 2004 – 2008</w:t>
      </w:r>
      <w:bookmarkEnd w:id="0"/>
      <w:bookmarkEnd w:id="7"/>
    </w:p>
    <w:sectPr w:rsidR="001C361A">
      <w:footnotePr>
        <w:numRestart w:val="eachSect"/>
      </w:footnotePr>
      <w:pgSz w:w="12240" w:h="15840"/>
      <w:pgMar w:top="907" w:right="1020" w:bottom="907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3A7E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E42D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43103426">
    <w:abstractNumId w:val="0"/>
  </w:num>
  <w:num w:numId="2" w16cid:durableId="869418285">
    <w:abstractNumId w:val="1"/>
  </w:num>
  <w:num w:numId="3" w16cid:durableId="1101296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61A"/>
    <w:rsid w:val="000B1A50"/>
    <w:rsid w:val="001B01F1"/>
    <w:rsid w:val="001C361A"/>
    <w:rsid w:val="007D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E645AB"/>
  <w15:docId w15:val="{97526674-26C2-42DB-A329-EC843B1C8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60" w:line="300" w:lineRule="auto"/>
    </w:pPr>
    <w:rPr>
      <w:rFonts w:ascii="Calibri" w:eastAsia="微软雅黑" w:hAnsi="Calibri" w:cs="Calibri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after="80" w:line="276" w:lineRule="auto"/>
      <w:jc w:val="center"/>
      <w:outlineLvl w:val="0"/>
    </w:pPr>
    <w:rPr>
      <w:rFonts w:asciiTheme="majorHAnsi" w:eastAsiaTheme="majorEastAsia" w:hAnsiTheme="majorHAnsi" w:cstheme="majorBidi"/>
      <w:b/>
      <w:color w:val="1F3864"/>
      <w:sz w:val="44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pBdr>
        <w:bottom w:val="single" w:sz="6" w:space="2" w:color="2E75B6"/>
      </w:pBdr>
      <w:spacing w:before="280" w:after="80" w:line="276" w:lineRule="auto"/>
      <w:outlineLvl w:val="1"/>
    </w:pPr>
    <w:rPr>
      <w:rFonts w:asciiTheme="majorHAnsi" w:eastAsiaTheme="majorEastAsia" w:hAnsiTheme="majorHAnsi" w:cstheme="majorBidi"/>
      <w:b/>
      <w:color w:val="2E75B6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after="40" w:line="276" w:lineRule="auto"/>
      <w:outlineLvl w:val="2"/>
    </w:pPr>
    <w:rPr>
      <w:rFonts w:eastAsiaTheme="majorEastAsia" w:cstheme="majorBidi"/>
      <w:b/>
      <w:color w:val="444444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60" w:after="40" w:line="276" w:lineRule="auto"/>
      <w:outlineLvl w:val="3"/>
    </w:pPr>
    <w:rPr>
      <w:rFonts w:eastAsiaTheme="majorEastAsia" w:cstheme="majorBidi"/>
      <w:b/>
      <w:i/>
      <w:iCs/>
      <w:color w:val="444444"/>
      <w:sz w:val="2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4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76" w:lineRule="auto"/>
      <w:contextualSpacing/>
      <w:jc w:val="center"/>
    </w:pPr>
    <w:rPr>
      <w:rFonts w:asciiTheme="majorHAnsi" w:eastAsiaTheme="majorEastAsia" w:hAnsiTheme="majorHAnsi" w:cstheme="majorBidi"/>
      <w:b/>
      <w:color w:val="1F3864"/>
      <w:sz w:val="44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476</Words>
  <Characters>2977</Characters>
  <Application>Microsoft Office Word</Application>
  <DocSecurity>0</DocSecurity>
  <Lines>49</Lines>
  <Paragraphs>26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刘小妍</dc:creator>
  <cp:keywords/>
  <cp:lastModifiedBy>小妍 刘</cp:lastModifiedBy>
  <cp:revision>4</cp:revision>
  <cp:lastPrinted>2026-04-22T12:56:00Z</cp:lastPrinted>
  <dcterms:created xsi:type="dcterms:W3CDTF">2026-04-22T12:51:00Z</dcterms:created>
  <dcterms:modified xsi:type="dcterms:W3CDTF">2026-04-22T12:56:00Z</dcterms:modified>
</cp:coreProperties>
</file>