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  <w:jc w:val="center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44"/>
          <w:u w:val="none"/>
        </w:rPr>
        <w:t>刘小妍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上海 | Cell: 159 2197 8601 | Email: olina11151@outlook.com | English (business proficient) | Mandarin (native)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专业摘要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14年数字化项目群端到端交付经验，专注跨境业务-技术转型与AI赋能项目治理。独立主导$50M+项目组合（15+并行项目），连续3年投资回报率（ROI）亚太第一。系统性集成AI工具（Claude Code等）至项目全生命周期，构建结构化PM知识库，交付效率提升20-25%。擅长数据驱动的需求治理与商业论证，在MNC矩阵式组织中撬动跨层级资源。贯穿PIPL/GDPR双法域合规、供应商管理、敏捷-瀑布混合交付。PMP认证，英语工作语言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工作经历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BPCE Equipment Solutions（法国BPCE银行集团）| IT项目经理 | 2022.11 - 至今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t>中国区唯一全职PM，独立负责IT系统端到端交付与预算双维度治理（P&amp;L + 现金流出）。作为中国业务与欧洲总部IT架构团队的关键桥梁，通过多轮深度沟通对齐跨境需求；构建商业论证为小份额业务争取总部资源与优先排期，推动中国成为全球首个完整上线实体（3核心系统），部署方案被采纳为全球可复制模板。</w:t>
      </w:r>
      <w:r>
        <w:rPr>
          <w:rFonts w:eastAsia="宋体" w:ascii="Times New Roman" w:hAnsi="Times New Roman"/>
          <w:b w:val="0"/>
          <w:i w:val="0"/>
          <w:u w:val="none"/>
        </w:rPr>
        <w:br/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t>集成AI工具（Claude Code等）至项目全生命周期——需求分析、风险识别与应对、方案评审、知识沉淀——构建结构化PM知识库，整体交付效率提升20-25%。搭建低代码项目数据管理中枢，以ROI与使用率数据驱动需求优先级论证；主导Power BI运营dashboard需求分析与HQ模板对齐。</w:t>
      </w:r>
      <w:r>
        <w:rPr>
          <w:rFonts w:eastAsia="宋体" w:ascii="Times New Roman" w:hAnsi="Times New Roman"/>
          <w:b w:val="0"/>
          <w:i w:val="0"/>
          <w:u w:val="none"/>
        </w:rPr>
        <w:br/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t>主导PIPL跨境数据合规工作流：交付个人信息保护影响评估（PIPIA）与端到端数据映射，2年项目周期内持续维护PIPL + EU GDPR双法域合规对齐。对关键交付物（测试用例、实施方案、用户手册）进行把控与验收，推动项目后评估与方法论沉淀。全程零合规违规、零关键生产缺陷，部署后2个月内100%业务利用率。</w:t>
      </w:r>
      <w:r>
        <w:rPr>
          <w:rFonts w:eastAsia="宋体" w:ascii="Times New Roman" w:hAnsi="Times New Roman"/>
          <w:b w:val="0"/>
          <w:i w:val="0"/>
          <w:u w:val="none"/>
        </w:rPr>
        <w:br/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NCR Corporation | 项目集经理 | 2016.09 - 2022.11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管理$50M+ IT交付组合，覆盖大中华区15+并行项目，协调多供应商资源，整合跨客户共性需求优化资源利用，敏捷-瀑布混合方法论。在季度业务评审中以组合级交付数据支撑APAC高层决策。连续3年ROI亚太第一（2019-2021），20+次生产发布零重大部署失败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上海药明康德 | 高级项目经理 | 2015.05 - 2016.08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跨职能项目管理，平衡实验室数据共享与知识产权保护标准，建立精益六西格玛问题解决框架。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赫兹国际 | 客户关怀主管 | 2011.12 - 2015.04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通过全球协作开发首个标准化售后问题手册，并购期间领导团队职能重组与KPI重设计。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教育背景 &amp; 资格认证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伍伦贡大学 | 国际经济与贸易硕士 | 2011</w:t>
      </w:r>
      <w:r>
        <w:rPr>
          <w:sz w:val="2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br/>
        <w:t>中央昆士兰大学 | 会计学学士 | 2010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PMP (2018) | ITIL Foundation (2021) | 精益六西格玛黄带 | 大模型应用开发工程师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