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02F5" w14:textId="77777777" w:rsidR="00FD1A63" w:rsidRDefault="00000000">
      <w:pPr>
        <w:spacing w:before="240" w:after="120"/>
        <w:jc w:val="center"/>
      </w:pPr>
      <w:r>
        <w:rPr>
          <w:b/>
          <w:sz w:val="44"/>
        </w:rPr>
        <w:t>Olina Liu</w:t>
      </w:r>
    </w:p>
    <w:p w14:paraId="24FA3617" w14:textId="77777777" w:rsidR="00FD1A63" w:rsidRDefault="00000000">
      <w:pPr>
        <w:pBdr>
          <w:bottom w:val="single" w:sz="6" w:space="1" w:color="auto"/>
        </w:pBdr>
      </w:pPr>
      <w:r>
        <w:t>Shanghai | Cell: 159 2197 8601 | Email: olina11151@outlook.com | English (business proficient) | Mandarin (native)</w:t>
      </w:r>
    </w:p>
    <w:p w14:paraId="2DF9D5F7" w14:textId="77777777" w:rsidR="00FD1A63" w:rsidRDefault="00000000">
      <w:pPr>
        <w:spacing w:before="240" w:after="120"/>
      </w:pPr>
      <w:r>
        <w:rPr>
          <w:b/>
          <w:sz w:val="32"/>
        </w:rPr>
        <w:t>Professional Summary</w:t>
      </w:r>
    </w:p>
    <w:p w14:paraId="0492D79E" w14:textId="77777777" w:rsidR="008057B1" w:rsidRDefault="008057B1">
      <w:pPr>
        <w:pBdr>
          <w:bottom w:val="single" w:sz="6" w:space="1" w:color="auto"/>
        </w:pBdr>
        <w:spacing w:before="240" w:after="120"/>
      </w:pPr>
      <w:r w:rsidRPr="008057B1">
        <w:t>14-year track record of end-to-end digital program delivery across cross-border business-technology transformation and AI-enabled project governance. Independently led $50M+ project portfolios (15+ concurrent) with #1 APAC ROI for 3 consecutive years. Systematically integrated AI tools (Claude Code, etc.) across the project lifecycle, building a structured PM knowledge base that drove 20-25% delivery efficiency gains. PMP-certified, English working proficiency.</w:t>
      </w:r>
    </w:p>
    <w:p w14:paraId="57FEA9A7" w14:textId="0F0316EA" w:rsidR="00FD1A6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Professional Experience</w:t>
      </w:r>
    </w:p>
    <w:p w14:paraId="27B40705" w14:textId="1E0DA01A" w:rsidR="008D44B1" w:rsidRDefault="008D44B1" w:rsidP="008D44B1">
      <w:pPr>
        <w:spacing w:before="240" w:after="120"/>
      </w:pPr>
      <w:r>
        <w:rPr>
          <w:b/>
          <w:sz w:val="28"/>
        </w:rPr>
        <w:t xml:space="preserve">BPCE </w:t>
      </w:r>
      <w:r>
        <w:rPr>
          <w:rFonts w:hint="eastAsia"/>
          <w:b/>
          <w:sz w:val="28"/>
          <w:lang w:eastAsia="zh-CN"/>
        </w:rPr>
        <w:t>ES</w:t>
      </w:r>
      <w:r>
        <w:rPr>
          <w:b/>
          <w:sz w:val="28"/>
        </w:rPr>
        <w:t xml:space="preserve"> (Groupe BPCE, France) |</w:t>
      </w:r>
      <w:r>
        <w:rPr>
          <w:rFonts w:hint="eastAsia"/>
          <w:b/>
          <w:sz w:val="28"/>
          <w:lang w:eastAsia="zh-CN"/>
        </w:rPr>
        <w:t xml:space="preserve"> IT PM                                               </w:t>
      </w:r>
      <w:r>
        <w:rPr>
          <w:b/>
          <w:sz w:val="28"/>
        </w:rPr>
        <w:t>Nov 2022 – Present</w:t>
      </w:r>
    </w:p>
    <w:p w14:paraId="77A72F07" w14:textId="77777777" w:rsidR="008057B1" w:rsidRDefault="008057B1" w:rsidP="008057B1">
      <w:r>
        <w:t>Sole full-time PM for China; independently owned end-to-end IT system delivery and dual-dimension budget governance (P&amp;L + cash-out).</w:t>
      </w:r>
    </w:p>
    <w:p w14:paraId="63C42763" w14:textId="77777777" w:rsidR="008057B1" w:rsidRDefault="008057B1" w:rsidP="008057B1">
      <w:r>
        <w:rPr>
          <w:rFonts w:hint="eastAsia"/>
        </w:rPr>
        <w:t>•</w:t>
      </w:r>
      <w:r>
        <w:t xml:space="preserve"> End-to-end delivery &amp; business case — Served as the key bridge between China business and EU HQ IT architecture teams, aligning cross-border requirements through iterative deep-dive sessions. Built business cases that secured HQ development resources and priority scheduling for China's small-share business, making it the first global entity to achieve full system go-live (3 core systems). Deployment model adopted as replicable global template. </w:t>
      </w:r>
      <w:r w:rsidRPr="000327A4">
        <w:rPr>
          <w:b/>
          <w:bCs/>
        </w:rPr>
        <w:t>100% business utilization</w:t>
      </w:r>
      <w:r>
        <w:t xml:space="preserve"> within 2 months post-deployment; zero critical defects; </w:t>
      </w:r>
      <w:r w:rsidRPr="000327A4">
        <w:rPr>
          <w:b/>
          <w:bCs/>
        </w:rPr>
        <w:t>zero compliance violations</w:t>
      </w:r>
      <w:r>
        <w:t>.</w:t>
      </w:r>
    </w:p>
    <w:p w14:paraId="7727E6F0" w14:textId="77777777" w:rsidR="008057B1" w:rsidRDefault="008057B1" w:rsidP="008057B1">
      <w:r>
        <w:rPr>
          <w:rFonts w:hint="eastAsia"/>
        </w:rPr>
        <w:t>•</w:t>
      </w:r>
      <w:r>
        <w:t xml:space="preserve"> AI-augmented project governance — Integrated AI tools (Claude Code, etc.) across the project lifecycle — requirements analysis, risk identification &amp; response, solution review, knowledge capture — building a structured PM knowledge base that lifted delivery </w:t>
      </w:r>
      <w:r w:rsidRPr="000327A4">
        <w:rPr>
          <w:b/>
          <w:bCs/>
        </w:rPr>
        <w:t>efficiency by 20-25%</w:t>
      </w:r>
      <w:r>
        <w:t>. Built a low-code project data hub driving data-based demand prioritization (ROI + business utilization analytics); led Power BI operational dashboard requirements analysis aligned with HQ reporting templates.</w:t>
      </w:r>
    </w:p>
    <w:p w14:paraId="46883EDF" w14:textId="50D38D8E" w:rsidR="008D44B1" w:rsidRDefault="008057B1" w:rsidP="008057B1">
      <w:pPr>
        <w:rPr>
          <w:lang w:eastAsia="zh-CN"/>
        </w:rPr>
      </w:pPr>
      <w:r>
        <w:rPr>
          <w:rFonts w:hint="eastAsia"/>
        </w:rPr>
        <w:t>•</w:t>
      </w:r>
      <w:r>
        <w:t xml:space="preserve"> PIPL/GDPR dual-jurisdiction compliance — Drove the China-side PIPL compliance workstream: delivered the Personal Information Protection Impact Assessment (PIPIA) and end-to-end data mapping, sustaining PIPL + EU GDPR dual-jurisdiction alignment across a 2-year rollout cycle. Oversaw quality control of key deliverables (test cases, implementation plans, user manuals) and drove post-project evaluation and methodology refinement.</w:t>
      </w:r>
      <w:r w:rsidR="00000000">
        <w:br/>
      </w:r>
    </w:p>
    <w:p w14:paraId="7093F0A4" w14:textId="3C7DF0B6" w:rsidR="008D44B1" w:rsidRDefault="008D44B1" w:rsidP="008D44B1">
      <w:r w:rsidRPr="008D44B1">
        <w:rPr>
          <w:b/>
          <w:sz w:val="28"/>
        </w:rPr>
        <w:t xml:space="preserve">NCR Corporation | </w:t>
      </w:r>
      <w:r w:rsidRPr="008D44B1">
        <w:rPr>
          <w:b/>
        </w:rPr>
        <w:t>Program Manager, PMO</w:t>
      </w:r>
      <w:r>
        <w:rPr>
          <w:rFonts w:hint="eastAsia"/>
          <w:lang w:eastAsia="zh-CN"/>
        </w:rPr>
        <w:t xml:space="preserve">                                                                 </w:t>
      </w:r>
      <w:r w:rsidRPr="008D44B1">
        <w:rPr>
          <w:b/>
          <w:sz w:val="28"/>
        </w:rPr>
        <w:t>Sep 2016 – Nov 2022</w:t>
      </w:r>
    </w:p>
    <w:p w14:paraId="3FF7613F" w14:textId="5EEA70E7" w:rsidR="008D44B1" w:rsidRDefault="00000000">
      <w:r>
        <w:t xml:space="preserve">Managed </w:t>
      </w:r>
      <w:r w:rsidRPr="000327A4">
        <w:rPr>
          <w:b/>
          <w:bCs/>
        </w:rPr>
        <w:t xml:space="preserve">$50M+ </w:t>
      </w:r>
      <w:r>
        <w:t xml:space="preserve">IT delivery portfolio spanning 15+ concurrent projects across Greater China. Coordinated multi-vendor resources, consolidated cross-client common requirements to optimize resource utilization; Agile-Waterfall hybrid methodology. </w:t>
      </w:r>
    </w:p>
    <w:p w14:paraId="7D3BC066" w14:textId="72A1438B" w:rsidR="00FD1A63" w:rsidRDefault="00000000">
      <w:r>
        <w:t>Presented portfolio-level delivery data at quarterly business reviews to support APAC leadership decisions.</w:t>
      </w:r>
      <w:r w:rsidRPr="000327A4">
        <w:rPr>
          <w:b/>
          <w:bCs/>
        </w:rPr>
        <w:t xml:space="preserve"> #1 APAC ROI for 3 consecutive years</w:t>
      </w:r>
      <w:r>
        <w:t>; 20+ production releases with zero major deployment failures.</w:t>
      </w:r>
    </w:p>
    <w:p w14:paraId="35D789C8" w14:textId="77777777" w:rsidR="008D44B1" w:rsidRDefault="008D44B1" w:rsidP="008D44B1">
      <w:pPr>
        <w:spacing w:before="240" w:after="120"/>
      </w:pPr>
      <w:proofErr w:type="spellStart"/>
      <w:r>
        <w:rPr>
          <w:b/>
          <w:sz w:val="28"/>
        </w:rPr>
        <w:t>WuXi</w:t>
      </w:r>
      <w:proofErr w:type="spellEnd"/>
      <w:r>
        <w:rPr>
          <w:b/>
          <w:sz w:val="28"/>
        </w:rPr>
        <w:t xml:space="preserve"> AppTec | </w:t>
      </w:r>
      <w:r>
        <w:rPr>
          <w:b/>
        </w:rPr>
        <w:t>Senior Project Manager, Commercial Operations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      </w:t>
      </w:r>
      <w:r>
        <w:rPr>
          <w:b/>
          <w:sz w:val="28"/>
        </w:rPr>
        <w:t>May 2015 – Aug 2016</w:t>
      </w:r>
    </w:p>
    <w:p w14:paraId="568CA9EE" w14:textId="77777777" w:rsidR="00FD1A63" w:rsidRDefault="00000000">
      <w:r>
        <w:t>Cross-functional project management, balancing laboratory data-sharing needs with IP protection standards. Established Lean Six Sigma problem-solving framework.</w:t>
      </w:r>
    </w:p>
    <w:p w14:paraId="27CFF381" w14:textId="1831540C" w:rsidR="008D44B1" w:rsidRDefault="008D44B1" w:rsidP="008D44B1">
      <w:pPr>
        <w:spacing w:before="240" w:after="120"/>
        <w:rPr>
          <w:lang w:eastAsia="zh-CN"/>
        </w:rPr>
      </w:pPr>
      <w:r>
        <w:rPr>
          <w:b/>
          <w:sz w:val="28"/>
        </w:rPr>
        <w:lastRenderedPageBreak/>
        <w:t xml:space="preserve">Hertz RAC | </w:t>
      </w:r>
      <w:r>
        <w:rPr>
          <w:b/>
        </w:rPr>
        <w:t>Customer Care Supervisor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                                           </w:t>
      </w:r>
      <w:r>
        <w:rPr>
          <w:b/>
          <w:sz w:val="28"/>
        </w:rPr>
        <w:t>Dec 2011 – Apr 2015</w:t>
      </w:r>
    </w:p>
    <w:p w14:paraId="6FBD65BD" w14:textId="77777777" w:rsidR="008D44B1" w:rsidRDefault="008D44B1" w:rsidP="008D44B1">
      <w:pPr>
        <w:spacing w:before="240" w:after="120"/>
      </w:pPr>
      <w:r>
        <w:rPr>
          <w:rFonts w:hint="eastAsia"/>
          <w:lang w:eastAsia="zh-CN"/>
        </w:rPr>
        <w:t>R</w:t>
      </w:r>
      <w:r>
        <w:t>eports to China President (SVP). Developed the company's first standardized after-sales issue handbook through global collaboration; established vendor scorecard and SLA analysis frameworks, driving service standardization through cross-functional influence.</w:t>
      </w:r>
    </w:p>
    <w:p w14:paraId="5BD307DA" w14:textId="77777777" w:rsidR="00FD1A6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Education &amp; Certifications</w:t>
      </w:r>
    </w:p>
    <w:p w14:paraId="7E34581E" w14:textId="77777777" w:rsidR="008D44B1" w:rsidRDefault="008D44B1" w:rsidP="008D44B1">
      <w:r>
        <w:t>University of Wollongong, Australia — Master of International Business | 2010 – 2011</w:t>
      </w:r>
      <w:r>
        <w:rPr>
          <w:sz w:val="2"/>
        </w:rPr>
        <w:br/>
      </w:r>
      <w:r>
        <w:t>Central Queensland University, Australia — Bachelor of Accounting | 2008 – 2010</w:t>
      </w:r>
      <w:r>
        <w:rPr>
          <w:sz w:val="2"/>
        </w:rPr>
        <w:br/>
      </w:r>
      <w:r>
        <w:t>Hunan Jishou University — Bachelor of Economics | 2004 – 2008</w:t>
      </w:r>
    </w:p>
    <w:p w14:paraId="5E0AEE95" w14:textId="2C755329" w:rsidR="00FD1A63" w:rsidRDefault="00000000">
      <w:pPr>
        <w:rPr>
          <w:rFonts w:hint="eastAsia"/>
          <w:lang w:eastAsia="zh-CN"/>
        </w:rPr>
      </w:pPr>
      <w:r>
        <w:t>PMP (201</w:t>
      </w:r>
      <w:r w:rsidR="008D44B1">
        <w:rPr>
          <w:rFonts w:hint="eastAsia"/>
          <w:lang w:eastAsia="zh-CN"/>
        </w:rPr>
        <w:t>8</w:t>
      </w:r>
      <w:r>
        <w:t xml:space="preserve">) | ITIL Foundation (2021) | Lean Six Sigma Yellow Belt | </w:t>
      </w:r>
      <w:r w:rsidR="008D44B1">
        <w:rPr>
          <w:rFonts w:hint="eastAsia"/>
          <w:lang w:eastAsia="zh-CN"/>
        </w:rPr>
        <w:t xml:space="preserve">LLM </w:t>
      </w:r>
      <w:r>
        <w:t>Application Development Engineer</w:t>
      </w:r>
      <w:r w:rsidR="008057B1">
        <w:rPr>
          <w:rFonts w:hint="eastAsia"/>
          <w:lang w:eastAsia="zh-CN"/>
        </w:rPr>
        <w:t xml:space="preserve"> (2026)</w:t>
      </w:r>
    </w:p>
    <w:sectPr w:rsidR="00FD1A63" w:rsidSect="008D44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5C58AF"/>
    <w:multiLevelType w:val="hybridMultilevel"/>
    <w:tmpl w:val="D1FC47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E4032A"/>
    <w:multiLevelType w:val="hybridMultilevel"/>
    <w:tmpl w:val="ACCEDF1A"/>
    <w:lvl w:ilvl="0" w:tplc="6B28521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84709438">
    <w:abstractNumId w:val="8"/>
  </w:num>
  <w:num w:numId="2" w16cid:durableId="643705388">
    <w:abstractNumId w:val="6"/>
  </w:num>
  <w:num w:numId="3" w16cid:durableId="221522224">
    <w:abstractNumId w:val="5"/>
  </w:num>
  <w:num w:numId="4" w16cid:durableId="1313170291">
    <w:abstractNumId w:val="4"/>
  </w:num>
  <w:num w:numId="5" w16cid:durableId="3749811">
    <w:abstractNumId w:val="7"/>
  </w:num>
  <w:num w:numId="6" w16cid:durableId="1275863181">
    <w:abstractNumId w:val="3"/>
  </w:num>
  <w:num w:numId="7" w16cid:durableId="651759633">
    <w:abstractNumId w:val="2"/>
  </w:num>
  <w:num w:numId="8" w16cid:durableId="757022214">
    <w:abstractNumId w:val="1"/>
  </w:num>
  <w:num w:numId="9" w16cid:durableId="1182428292">
    <w:abstractNumId w:val="0"/>
  </w:num>
  <w:num w:numId="10" w16cid:durableId="146286161">
    <w:abstractNumId w:val="9"/>
  </w:num>
  <w:num w:numId="11" w16cid:durableId="10257132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A4"/>
    <w:rsid w:val="00034616"/>
    <w:rsid w:val="0006063C"/>
    <w:rsid w:val="0015074B"/>
    <w:rsid w:val="0029639D"/>
    <w:rsid w:val="00326F90"/>
    <w:rsid w:val="006B2F3A"/>
    <w:rsid w:val="00705B70"/>
    <w:rsid w:val="008057B1"/>
    <w:rsid w:val="008D44B1"/>
    <w:rsid w:val="00AA1D8D"/>
    <w:rsid w:val="00B47730"/>
    <w:rsid w:val="00CB0664"/>
    <w:rsid w:val="00FC693F"/>
    <w:rsid w:val="00FD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656BE"/>
  <w14:defaultImageDpi w14:val="300"/>
  <w15:docId w15:val="{60D00E31-583B-4357-BA67-91D9183B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507</Words>
  <Characters>3428</Characters>
  <Application>Microsoft Office Word</Application>
  <DocSecurity>0</DocSecurity>
  <Lines>45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4</cp:revision>
  <dcterms:created xsi:type="dcterms:W3CDTF">2013-12-23T23:15:00Z</dcterms:created>
  <dcterms:modified xsi:type="dcterms:W3CDTF">2026-05-06T14:01:00Z</dcterms:modified>
  <cp:category/>
</cp:coreProperties>
</file>