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E6E14" w14:textId="77777777" w:rsidR="003640B3" w:rsidRDefault="00000000">
      <w:pPr>
        <w:spacing w:before="240" w:after="120"/>
        <w:jc w:val="center"/>
      </w:pPr>
      <w:r>
        <w:rPr>
          <w:b/>
          <w:sz w:val="44"/>
        </w:rPr>
        <w:t>Olina Liu</w:t>
      </w:r>
    </w:p>
    <w:p w14:paraId="2251B27C" w14:textId="32FE24C4" w:rsidR="003640B3" w:rsidRDefault="00000000">
      <w:pPr>
        <w:pBdr>
          <w:bottom w:val="single" w:sz="6" w:space="1" w:color="auto"/>
        </w:pBdr>
      </w:pPr>
      <w:r>
        <w:t xml:space="preserve">Shanghai, China | +86 159 2197 8601 | </w:t>
      </w:r>
      <w:hyperlink r:id="rId6" w:history="1">
        <w:r w:rsidR="009713C2" w:rsidRPr="00AB0034">
          <w:rPr>
            <w:rStyle w:val="aff9"/>
          </w:rPr>
          <w:t>olina11151@outlook.com</w:t>
        </w:r>
      </w:hyperlink>
      <w:r w:rsidR="009713C2">
        <w:rPr>
          <w:rFonts w:hint="eastAsia"/>
          <w:lang w:eastAsia="zh-CN"/>
        </w:rPr>
        <w:t xml:space="preserve"> </w:t>
      </w:r>
      <w:r w:rsidR="00BB4F41">
        <w:t xml:space="preserve">| </w:t>
      </w:r>
      <w:r>
        <w:t>English (business proficient) · Mandarin (native)</w:t>
      </w:r>
    </w:p>
    <w:p w14:paraId="333901E2" w14:textId="77777777" w:rsidR="003640B3" w:rsidRDefault="00000000">
      <w:pPr>
        <w:spacing w:before="240" w:after="120"/>
      </w:pPr>
      <w:r>
        <w:rPr>
          <w:b/>
          <w:sz w:val="32"/>
        </w:rPr>
        <w:t>Professional Summary</w:t>
      </w:r>
    </w:p>
    <w:p w14:paraId="63F2E922" w14:textId="78E6A63F" w:rsidR="00663CBE" w:rsidRDefault="00663CBE">
      <w:r w:rsidRPr="00663CBE">
        <w:t xml:space="preserve">Senior IT Business Partner / Program Manager — 14 yrs bridging business leadership (COO/SVP) and global IT across China–EU–APAC. Strengths: business-IT alignment, business case &amp; portfolio governance ($50M+), global delivery with zero-defect track record. Proven in regulated MNC environments. </w:t>
      </w:r>
    </w:p>
    <w:p w14:paraId="722956BF" w14:textId="31C2C1C4" w:rsidR="003640B3" w:rsidRDefault="00000000">
      <w:r>
        <w:rPr>
          <w:b/>
        </w:rPr>
        <w:t>Certifications</w:t>
      </w:r>
      <w:r>
        <w:t xml:space="preserve">: PMP | ITIL Foundation | Lean Six Sigma Yellow Belt | </w:t>
      </w:r>
      <w:r w:rsidR="00663CBE">
        <w:rPr>
          <w:rFonts w:hint="eastAsia"/>
          <w:lang w:eastAsia="zh-CN"/>
        </w:rPr>
        <w:t xml:space="preserve">LLM </w:t>
      </w:r>
      <w:r>
        <w:t xml:space="preserve">Application Engineer </w:t>
      </w:r>
    </w:p>
    <w:p w14:paraId="36F1E0E3" w14:textId="77777777" w:rsidR="003640B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Work Experience</w:t>
      </w:r>
    </w:p>
    <w:p w14:paraId="784D35E9" w14:textId="7F810729" w:rsidR="003640B3" w:rsidRDefault="00000000">
      <w:pPr>
        <w:spacing w:before="240" w:after="120"/>
      </w:pPr>
      <w:r>
        <w:rPr>
          <w:b/>
          <w:sz w:val="28"/>
        </w:rPr>
        <w:t xml:space="preserve">BPCE </w:t>
      </w:r>
      <w:r w:rsidR="00BB4F41">
        <w:rPr>
          <w:rFonts w:hint="eastAsia"/>
          <w:b/>
          <w:sz w:val="28"/>
          <w:lang w:eastAsia="zh-CN"/>
        </w:rPr>
        <w:t>ES</w:t>
      </w:r>
      <w:r>
        <w:rPr>
          <w:b/>
          <w:sz w:val="28"/>
        </w:rPr>
        <w:t xml:space="preserve"> (Groupe BPCE, France) |</w:t>
      </w:r>
      <w:r w:rsidR="00BB4F41">
        <w:rPr>
          <w:rFonts w:hint="eastAsia"/>
          <w:b/>
          <w:sz w:val="28"/>
          <w:lang w:eastAsia="zh-CN"/>
        </w:rPr>
        <w:t xml:space="preserve"> IT PM                                           </w:t>
      </w:r>
      <w:r>
        <w:rPr>
          <w:b/>
          <w:sz w:val="28"/>
        </w:rPr>
        <w:t>Nov 2022 – Present</w:t>
      </w:r>
    </w:p>
    <w:p w14:paraId="14DDBA84" w14:textId="61B72CE9" w:rsidR="003640B3" w:rsidRDefault="00000000" w:rsidP="00BB4F41">
      <w:r>
        <w:t>•   Sole China IT PM and primary interface between business leadership (COO) and EU HQ IT functions — architecture, development, security, and operations. Translate China business strategy into prioritized IT demand; own end-to-end lifecycle from requirements through run-state handover; single escalation point for all China IT matters; own dual-dimension IT budget governance (P&amp;L + cash-out tracking).</w:t>
      </w:r>
    </w:p>
    <w:p w14:paraId="19490C28" w14:textId="77777777" w:rsidR="003640B3" w:rsidRDefault="00000000" w:rsidP="00BB4F41">
      <w:r>
        <w:t>•   Build commercial business cases positioning China needs as HQ-KPI accelerators; secure priority engineering capacity and Phase 2 funding commitment under a competitive cost-allocation model despite China's minimal global revenue share.</w:t>
      </w:r>
    </w:p>
    <w:p w14:paraId="226428D5" w14:textId="77777777" w:rsidR="003640B3" w:rsidRDefault="00000000" w:rsidP="00BB4F41">
      <w:r>
        <w:t>•   Deliver BPCE's first full global-entity go-live — 3 core systems (Quotation Tool, Origination, Database Infrastructure) with 100% business adoption within 2 months, zero critical defects, zero compliance violations. Deployment adopted as the replicable global template; contributed to a ~70% operational cost-reduction roadmap now embedded in HQ strategic planning.</w:t>
      </w:r>
    </w:p>
    <w:p w14:paraId="21F393B5" w14:textId="17905273" w:rsidR="00BB4F41" w:rsidRDefault="00000000" w:rsidP="00BB4F41">
      <w:pPr>
        <w:rPr>
          <w:rFonts w:hint="eastAsia"/>
          <w:lang w:eastAsia="zh-CN"/>
        </w:rPr>
      </w:pPr>
      <w:r>
        <w:t>•   Drive China-side PIPL compliance workstream for overseas-hosted platforms: deliver PIPIA and end-to-end data mapping in partnership with local legal counsel and HQ data protection teams; sustain PIPL + EU GDPR dual-jurisdiction alignment across a 2-year rollout cycle as PIPL implementation rules evolved.</w:t>
      </w:r>
    </w:p>
    <w:p w14:paraId="68B11B4D" w14:textId="322ADCBC" w:rsidR="003640B3" w:rsidRDefault="00000000" w:rsidP="00BB4F41">
      <w:r>
        <w:rPr>
          <w:b/>
          <w:sz w:val="28"/>
        </w:rPr>
        <w:t xml:space="preserve">NCR Corporation | </w:t>
      </w:r>
      <w:r w:rsidR="00BB4F41">
        <w:rPr>
          <w:b/>
        </w:rPr>
        <w:t>Program Manager, PMO</w:t>
      </w:r>
      <w:r w:rsidR="00BB4F41">
        <w:rPr>
          <w:rFonts w:hint="eastAsia"/>
          <w:lang w:eastAsia="zh-CN"/>
        </w:rPr>
        <w:t xml:space="preserve">                                                                 </w:t>
      </w:r>
      <w:r>
        <w:rPr>
          <w:b/>
          <w:sz w:val="28"/>
        </w:rPr>
        <w:t>Sep 2016 – Nov 2022</w:t>
      </w:r>
    </w:p>
    <w:p w14:paraId="2BD69A4E" w14:textId="77777777" w:rsidR="003640B3" w:rsidRDefault="00000000" w:rsidP="00BB4F41">
      <w:r>
        <w:t>•   Manage $50M+ IT delivery portfolio across 15+ concurrent Greater China initiatives via hybrid agile–waterfall. #1 APAC ROI 3 consecutive years (2019–2021) through cross-portfolio requirement consolidation; zero major deployment failures across 20+ releases; 3-year audit period with zero financial-data compliance incidents.</w:t>
      </w:r>
    </w:p>
    <w:p w14:paraId="62EA5F67" w14:textId="77777777" w:rsidR="003640B3" w:rsidRDefault="00000000" w:rsidP="00BB4F41">
      <w:r>
        <w:t>•   Cross-portfolio SME in RFP and QBR forums; own vendor scorecards, SLA frameworks, and cross-functional delivery alignment across sales, operations, and development.</w:t>
      </w:r>
    </w:p>
    <w:p w14:paraId="545ACDAE" w14:textId="43478413" w:rsidR="003640B3" w:rsidRDefault="00000000">
      <w:pPr>
        <w:spacing w:before="240" w:after="120"/>
      </w:pPr>
      <w:proofErr w:type="spellStart"/>
      <w:r>
        <w:rPr>
          <w:b/>
          <w:sz w:val="28"/>
        </w:rPr>
        <w:t>WuXi</w:t>
      </w:r>
      <w:proofErr w:type="spellEnd"/>
      <w:r>
        <w:rPr>
          <w:b/>
          <w:sz w:val="28"/>
        </w:rPr>
        <w:t xml:space="preserve"> AppTec | </w:t>
      </w:r>
      <w:r w:rsidR="00BB4F41">
        <w:rPr>
          <w:b/>
        </w:rPr>
        <w:t>Senior Project Manager, Commercial Operations</w:t>
      </w:r>
      <w:r w:rsidR="00BB4F41">
        <w:rPr>
          <w:b/>
          <w:sz w:val="28"/>
        </w:rPr>
        <w:t xml:space="preserve"> </w:t>
      </w:r>
      <w:r w:rsidR="00BB4F41">
        <w:rPr>
          <w:rFonts w:hint="eastAsia"/>
          <w:b/>
          <w:sz w:val="28"/>
          <w:lang w:eastAsia="zh-CN"/>
        </w:rPr>
        <w:t xml:space="preserve">                      </w:t>
      </w:r>
      <w:r>
        <w:rPr>
          <w:b/>
          <w:sz w:val="28"/>
        </w:rPr>
        <w:t>May 2015 – Aug 2016</w:t>
      </w:r>
    </w:p>
    <w:p w14:paraId="3A916F31" w14:textId="5E1A8D42" w:rsidR="003640B3" w:rsidRDefault="00000000">
      <w:r>
        <w:t>Cross-functional project management balancing laboratory data-sharing requirements with IP protection standards; applied Lean Six Sigma frameworks for structured problem-solving.</w:t>
      </w:r>
    </w:p>
    <w:p w14:paraId="667AEBEA" w14:textId="5FF97815" w:rsidR="00BB4F41" w:rsidRDefault="00000000" w:rsidP="00BB4F41">
      <w:pPr>
        <w:spacing w:before="240" w:after="120"/>
        <w:rPr>
          <w:lang w:eastAsia="zh-CN"/>
        </w:rPr>
      </w:pPr>
      <w:r>
        <w:rPr>
          <w:b/>
          <w:sz w:val="28"/>
        </w:rPr>
        <w:t xml:space="preserve">Hertz RAC | </w:t>
      </w:r>
      <w:r w:rsidR="00BB4F41">
        <w:rPr>
          <w:b/>
        </w:rPr>
        <w:t>Customer Care Supervisor</w:t>
      </w:r>
      <w:r w:rsidR="00BB4F41">
        <w:rPr>
          <w:b/>
          <w:sz w:val="28"/>
        </w:rPr>
        <w:t xml:space="preserve"> </w:t>
      </w:r>
      <w:r w:rsidR="00BB4F41">
        <w:rPr>
          <w:rFonts w:hint="eastAsia"/>
          <w:b/>
          <w:sz w:val="28"/>
          <w:lang w:eastAsia="zh-CN"/>
        </w:rPr>
        <w:t xml:space="preserve">                                                           </w:t>
      </w:r>
      <w:r>
        <w:rPr>
          <w:b/>
          <w:sz w:val="28"/>
        </w:rPr>
        <w:t>Dec 2011 – Apr 2015</w:t>
      </w:r>
    </w:p>
    <w:p w14:paraId="1C96BCBF" w14:textId="7FE84379" w:rsidR="003640B3" w:rsidRDefault="00BB4F41" w:rsidP="00BB4F41">
      <w:pPr>
        <w:spacing w:before="240" w:after="120"/>
      </w:pPr>
      <w:r>
        <w:rPr>
          <w:rFonts w:hint="eastAsia"/>
          <w:lang w:eastAsia="zh-CN"/>
        </w:rPr>
        <w:lastRenderedPageBreak/>
        <w:t>R</w:t>
      </w:r>
      <w:r>
        <w:t>eports to China President (SVP). Developed the company's first standardized after-sales issue handbook through global collaboration; established vendor scorecard and SLA analysis frameworks, driving service standardization through cross-functional influence.</w:t>
      </w:r>
    </w:p>
    <w:p w14:paraId="5DD39AAA" w14:textId="77777777" w:rsidR="003640B3" w:rsidRDefault="00000000">
      <w:pPr>
        <w:pBdr>
          <w:bottom w:val="single" w:sz="6" w:space="1" w:color="auto"/>
        </w:pBdr>
        <w:spacing w:before="240" w:after="120"/>
        <w:rPr>
          <w:b/>
          <w:sz w:val="32"/>
        </w:rPr>
      </w:pPr>
      <w:r>
        <w:rPr>
          <w:b/>
          <w:sz w:val="32"/>
        </w:rPr>
        <w:t>Education</w:t>
      </w:r>
    </w:p>
    <w:p w14:paraId="19E15D34" w14:textId="2E8CEACB" w:rsidR="003640B3" w:rsidRDefault="00000000">
      <w:r>
        <w:t>University of Wollongong, Australia — Master of International Business | 2010 – 2011</w:t>
      </w:r>
      <w:r>
        <w:rPr>
          <w:sz w:val="2"/>
        </w:rPr>
        <w:br/>
      </w:r>
      <w:r>
        <w:t>Central Queensland University, Australia — Bachelor of Accounting | 2008 – 2010</w:t>
      </w:r>
      <w:r>
        <w:rPr>
          <w:sz w:val="2"/>
        </w:rPr>
        <w:br/>
      </w:r>
      <w:r>
        <w:t>Hunan Jishou University — Bachelor of Economics | 2004 – 2008</w:t>
      </w:r>
    </w:p>
    <w:sectPr w:rsidR="003640B3" w:rsidSect="00BB4F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450063">
    <w:abstractNumId w:val="8"/>
  </w:num>
  <w:num w:numId="2" w16cid:durableId="1609701174">
    <w:abstractNumId w:val="6"/>
  </w:num>
  <w:num w:numId="3" w16cid:durableId="909735208">
    <w:abstractNumId w:val="5"/>
  </w:num>
  <w:num w:numId="4" w16cid:durableId="989484485">
    <w:abstractNumId w:val="4"/>
  </w:num>
  <w:num w:numId="5" w16cid:durableId="858737314">
    <w:abstractNumId w:val="7"/>
  </w:num>
  <w:num w:numId="6" w16cid:durableId="13968352">
    <w:abstractNumId w:val="3"/>
  </w:num>
  <w:num w:numId="7" w16cid:durableId="916207600">
    <w:abstractNumId w:val="2"/>
  </w:num>
  <w:num w:numId="8" w16cid:durableId="685863694">
    <w:abstractNumId w:val="1"/>
  </w:num>
  <w:num w:numId="9" w16cid:durableId="90560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0B3"/>
    <w:rsid w:val="004847FC"/>
    <w:rsid w:val="00644BE2"/>
    <w:rsid w:val="00663CBE"/>
    <w:rsid w:val="009713C2"/>
    <w:rsid w:val="00AA1D8D"/>
    <w:rsid w:val="00B47730"/>
    <w:rsid w:val="00BB4F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BB4AB"/>
  <w14:defaultImageDpi w14:val="300"/>
  <w15:docId w15:val="{E8BE12D6-92C0-4D8F-9F60-8B20795A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9713C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71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lina11151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478</Words>
  <Characters>3055</Characters>
  <Application>Microsoft Office Word</Application>
  <DocSecurity>0</DocSecurity>
  <Lines>42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4</cp:revision>
  <cp:lastPrinted>2026-05-05T13:15:00Z</cp:lastPrinted>
  <dcterms:created xsi:type="dcterms:W3CDTF">2013-12-23T23:15:00Z</dcterms:created>
  <dcterms:modified xsi:type="dcterms:W3CDTF">2026-05-05T13:15:00Z</dcterms:modified>
  <cp:category/>
</cp:coreProperties>
</file>