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Shanghai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+86 15921978601 | olina11151@outlook.com</w:t>
        <w:br/>
        <w:t>English (business proficient) · Mandarin (native)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Program / Delivery Manager with 14 years of IT delivery in financial services (6 years fintech + 4 years equipment-leasing) and MNC cross-border environments. Managed $50M+ delivery portfolios across Greater China, leading 15+ parallel programs spanning major KA engagements, RFP responses, and QBR governance. Brings dual perspective from vendor-facing delivery leadership (NCR, 6 yrs) and in-house program ownership (BPCE) — proven track record of 3 consecutive years of #1 APAC portfolio ROI, 20+ production releases with zero major incidents, and a 3-year clean financial audit. Bilingual CN/EN, delivers across APAC matrix with multi-country stakeholders.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China IT delivery lead for a French banking-group leasing arm; ran the local end-to-end delivery of a global system rollout under cost-shared governance with HQ. Reporting to COO.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Delivered 3 core systems among the first complete global rollouts within BPCE's ONE Platform program — achieved high business utilization through cross-functional stakeholder alignment, no major defects, with deployment approach adopted as global replicable template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Owned end-to-end delivery governance across requirements, testing, UAT, release, and hypercare — coordinated multi-country stakeholders (China HQ Europe) across time zones, securing engineering capacity and second-phase funding for a small-share market through structured business-case advocacy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Operated dual-dimension delivery financial governance (P&amp;L + cash-out tracking), quantifying build-cost vs. business-benefit trade-offs to inform portfolio prioritization decisions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Drove operational standardization through system rollout — correcting data quality issues and non-standard offline practices via system-enforced logic; embedded PIPL/GDPR cross-border data requirements into delivery scope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Vendor-side delivery lead for Greater China — governed $50M+ IT delivery portfolio across two major KA accounts and several mid-sized fintech / retail clients; 15+ parallel programs under hybrid Agile/Waterfall.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Governed delivery scale and capacity across two major KA accounts and a mid-sized client portfolio — drove 3 consecutive years (2019–2021) of #1 APAC portfolio ROI through cross-customer requirement consolidation and engineering capacity optimization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KA account transformation: Yum! East-China deployment delivered 5% warehouse cost savings and 20% labor reduction, with the playbook replicated to 3 additional accounts; EPM rollout achieved 95% user adoption within 3 months with zero data-migration incidents under fixed headcount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Maintained 20+ production releases with zero major deployment failures and a 3-year clean financial audit period; served as cross-portfolio expert in client RFP responses and QBR forums, owning SLA review, scope governance, and escalation management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Cross-functional project delivery balancing laboratory data sharing with IP protection; established Lean Six Sigma problem-solving framework.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through global restructuring; established vendor scorecard and SLA analysis framework, plus first standardized after-sales handbook via global collaboration.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Oct–Nov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IITC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