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面试准备 — 总览与 SOP</w:t>
      </w:r>
    </w:p>
    <w:p>
      <w:pPr>
        <w:ind w:left="567" w:right="283"/>
      </w:pPr>
      <w:r>
        <w:rPr>
          <w:b/>
          <w:color w:val="0066CC"/>
        </w:rPr>
        <w:t xml:space="preserve">│ </w:t>
      </w:r>
      <w:r>
        <w:rPr>
          <w:b/>
          <w:i w:val="0"/>
          <w:color w:val="333333"/>
        </w:rPr>
        <w:t>用途</w:t>
      </w:r>
      <w:r>
        <w:rPr>
          <w:i/>
          <w:color w:val="333333"/>
        </w:rPr>
        <w:t>：拿到面试通知 / 接到 HR 电话时的入口文档。明确流程、案例索引、调用路径。</w:t>
        <w:br/>
      </w:r>
      <w:r>
        <w:rPr>
          <w:b/>
          <w:i w:val="0"/>
          <w:color w:val="333333"/>
        </w:rPr>
        <w:t>最后更新</w:t>
      </w:r>
      <w:r>
        <w:rPr>
          <w:i/>
          <w:color w:val="333333"/>
        </w:rPr>
        <w:t>：2026-05-22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接到 HR 首轮电话时</w:t>
      </w:r>
    </w:p>
    <w:p>
      <w:r>
        <w:t>→ 立即翻 [[HR首轮电话脚本]]</w:t>
      </w:r>
    </w:p>
    <w:p>
      <w:r>
        <w:t xml:space="preserve">→ 通话后 10 分钟内把信息记入 </w:t>
      </w:r>
      <w:r>
        <w:rPr>
          <w:rFonts w:ascii="Consolas" w:hAnsi="Consolas"/>
          <w:color w:val="800000"/>
          <w:sz w:val="18"/>
        </w:rPr>
        <w:t>投递跟踪.md</w:t>
      </w:r>
    </w:p>
    <w:p>
      <w:pPr>
        <w:pStyle w:val="Heading2"/>
      </w:pPr>
      <w:r>
        <w:t>2. 拿到正式面试通知时（SOP）</w:t>
      </w:r>
    </w:p>
    <w:p>
      <w:pPr>
        <w:ind w:left="567"/>
      </w:pPr>
      <w:r>
        <w:rPr>
          <w:rFonts w:ascii="Consolas" w:hAnsi="Consolas"/>
          <w:color w:val="333333"/>
          <w:sz w:val="18"/>
        </w:rPr>
        <w:t>通知到手</w:t>
      </w:r>
      <w:r>
        <w:br/>
      </w:r>
      <w:r>
        <w:rPr>
          <w:rFonts w:ascii="Consolas" w:hAnsi="Consolas"/>
          <w:color w:val="333333"/>
          <w:sz w:val="18"/>
        </w:rPr>
        <w:t xml:space="preserve">  ↓</w:t>
      </w:r>
      <w:r>
        <w:br/>
      </w:r>
      <w:r>
        <w:rPr>
          <w:rFonts w:ascii="Consolas" w:hAnsi="Consolas"/>
          <w:color w:val="333333"/>
          <w:sz w:val="18"/>
        </w:rPr>
        <w:t>Step 1：建公司面试档案</w:t>
      </w:r>
      <w:r>
        <w:br/>
      </w:r>
      <w:r>
        <w:rPr>
          <w:rFonts w:ascii="Consolas" w:hAnsi="Consolas"/>
          <w:color w:val="333333"/>
          <w:sz w:val="18"/>
        </w:rPr>
        <w:t xml:space="preserve">  路径：面试准备/面试复盘/&lt;公司&gt;_&lt;日期&gt;.md</w:t>
      </w:r>
      <w:r>
        <w:br/>
      </w:r>
      <w:r>
        <w:rPr>
          <w:rFonts w:ascii="Consolas" w:hAnsi="Consolas"/>
          <w:color w:val="333333"/>
          <w:sz w:val="18"/>
        </w:rPr>
        <w:t xml:space="preserve">  ↓</w:t>
      </w:r>
      <w:r>
        <w:br/>
      </w:r>
      <w:r>
        <w:rPr>
          <w:rFonts w:ascii="Consolas" w:hAnsi="Consolas"/>
          <w:color w:val="333333"/>
          <w:sz w:val="18"/>
        </w:rPr>
        <w:t>Step 2：公司背调（30-60min）</w:t>
      </w:r>
      <w:r>
        <w:br/>
      </w:r>
      <w:r>
        <w:rPr>
          <w:rFonts w:ascii="Consolas" w:hAnsi="Consolas"/>
          <w:color w:val="333333"/>
          <w:sz w:val="18"/>
        </w:rPr>
        <w:t xml:space="preserve">  - 业务模式、近期动态、组织架构、面试官 LinkedIn</w:t>
      </w:r>
      <w:r>
        <w:br/>
      </w:r>
      <w:r>
        <w:rPr>
          <w:rFonts w:ascii="Consolas" w:hAnsi="Consolas"/>
          <w:color w:val="333333"/>
          <w:sz w:val="18"/>
        </w:rPr>
        <w:t xml:space="preserve">  - 把信息记到档案</w:t>
      </w:r>
      <w:r>
        <w:br/>
      </w:r>
      <w:r>
        <w:rPr>
          <w:rFonts w:ascii="Consolas" w:hAnsi="Consolas"/>
          <w:color w:val="333333"/>
          <w:sz w:val="18"/>
        </w:rPr>
        <w:t xml:space="preserve">  ↓</w:t>
      </w:r>
      <w:r>
        <w:br/>
      </w:r>
      <w:r>
        <w:rPr>
          <w:rFonts w:ascii="Consolas" w:hAnsi="Consolas"/>
          <w:color w:val="333333"/>
          <w:sz w:val="18"/>
        </w:rPr>
        <w:t>Step 3：JD 重读 + 案例匹配</w:t>
      </w:r>
      <w:r>
        <w:br/>
      </w:r>
      <w:r>
        <w:rPr>
          <w:rFonts w:ascii="Consolas" w:hAnsi="Consolas"/>
          <w:color w:val="333333"/>
          <w:sz w:val="18"/>
        </w:rPr>
        <w:t xml:space="preserve">  - 重读 JD 关键词</w:t>
      </w:r>
      <w:r>
        <w:br/>
      </w:r>
      <w:r>
        <w:rPr>
          <w:rFonts w:ascii="Consolas" w:hAnsi="Consolas"/>
          <w:color w:val="333333"/>
          <w:sz w:val="18"/>
        </w:rPr>
        <w:t xml:space="preserve">  - 从 [[案例库]] 挑 3-5 个最契合的案例 ID</w:t>
      </w:r>
      <w:r>
        <w:br/>
      </w:r>
      <w:r>
        <w:rPr>
          <w:rFonts w:ascii="Consolas" w:hAnsi="Consolas"/>
          <w:color w:val="333333"/>
          <w:sz w:val="18"/>
        </w:rPr>
        <w:t xml:space="preserve">  - 在档案里写："本场预计被问 → 调用案例 ID"</w:t>
      </w:r>
      <w:r>
        <w:br/>
      </w:r>
      <w:r>
        <w:rPr>
          <w:rFonts w:ascii="Consolas" w:hAnsi="Consolas"/>
          <w:color w:val="333333"/>
          <w:sz w:val="18"/>
        </w:rPr>
      </w:r>
      <w:r>
        <w:br/>
      </w:r>
      <w:r>
        <w:rPr>
          <w:rFonts w:ascii="Consolas" w:hAnsi="Consolas"/>
          <w:color w:val="333333"/>
          <w:sz w:val="18"/>
        </w:rPr>
        <w:t xml:space="preserve">  **快速筛选方法论**：</w:t>
      </w:r>
      <w:r>
        <w:br/>
      </w:r>
      <w:r>
        <w:rPr>
          <w:rFonts w:ascii="Consolas" w:hAnsi="Consolas"/>
          <w:color w:val="333333"/>
          <w:sz w:val="18"/>
        </w:rPr>
        <w:t xml:space="preserve">  1. 扫描 JD 高频信号词（≥2次出现）：</w:t>
      </w:r>
      <w:r>
        <w:br/>
      </w:r>
      <w:r>
        <w:rPr>
          <w:rFonts w:ascii="Consolas" w:hAnsi="Consolas"/>
          <w:color w:val="333333"/>
          <w:sz w:val="18"/>
        </w:rPr>
        <w:t xml:space="preserve">     - 领导力类 → CASE-BPCE-01 / CASE-NCR-03 / CASE-HERTZ-02</w:t>
      </w:r>
      <w:r>
        <w:br/>
      </w:r>
      <w:r>
        <w:rPr>
          <w:rFonts w:ascii="Consolas" w:hAnsi="Consolas"/>
          <w:color w:val="333333"/>
          <w:sz w:val="18"/>
        </w:rPr>
        <w:t xml:space="preserve">     - 端到端交付 → CASE-BPCE-02 / CASE-NCR-01 / CASE-BPCE-06</w:t>
      </w:r>
      <w:r>
        <w:br/>
      </w:r>
      <w:r>
        <w:rPr>
          <w:rFonts w:ascii="Consolas" w:hAnsi="Consolas"/>
          <w:color w:val="333333"/>
          <w:sz w:val="18"/>
        </w:rPr>
        <w:t xml:space="preserve">     - 数据驱动 → CASE-BPCE-05 / CASE-BPCE-04 / CASE-NCR-03</w:t>
      </w:r>
      <w:r>
        <w:br/>
      </w:r>
      <w:r>
        <w:rPr>
          <w:rFonts w:ascii="Consolas" w:hAnsi="Consolas"/>
          <w:color w:val="333333"/>
          <w:sz w:val="18"/>
        </w:rPr>
        <w:t xml:space="preserve">     - 变革管理 → CASE-NCR-01 / CASE-WUXI-01 / CASE-HERTZ-02</w:t>
      </w:r>
      <w:r>
        <w:br/>
      </w:r>
      <w:r>
        <w:rPr>
          <w:rFonts w:ascii="Consolas" w:hAnsi="Consolas"/>
          <w:color w:val="333333"/>
          <w:sz w:val="18"/>
        </w:rPr>
        <w:t xml:space="preserve">     - 冲突管理 → CASE-WUXI-01 / CASE-CONFLICT-01</w:t>
      </w:r>
      <w:r>
        <w:br/>
      </w:r>
      <w:r>
        <w:rPr>
          <w:rFonts w:ascii="Consolas" w:hAnsi="Consolas"/>
          <w:color w:val="333333"/>
          <w:sz w:val="18"/>
        </w:rPr>
        <w:t xml:space="preserve">     - BA/需求 → CASE-BPCE-06 / CASE-NCR-01 / CASE-BPCE-05</w:t>
      </w:r>
      <w:r>
        <w:br/>
      </w:r>
      <w:r>
        <w:rPr>
          <w:rFonts w:ascii="Consolas" w:hAnsi="Consolas"/>
          <w:color w:val="333333"/>
          <w:sz w:val="18"/>
        </w:rPr>
        <w:t xml:space="preserve">     - Portfolio/多项目 → CASE-NCR-03 / CASE-BPCE-01</w:t>
      </w:r>
      <w:r>
        <w:br/>
      </w:r>
      <w:r>
        <w:rPr>
          <w:rFonts w:ascii="Consolas" w:hAnsi="Consolas"/>
          <w:color w:val="333333"/>
          <w:sz w:val="18"/>
        </w:rPr>
        <w:t xml:space="preserve">  2. 识别岗位类型（参考 `skill-modules/CN/00_模块索引.md`）：</w:t>
      </w:r>
      <w:r>
        <w:br/>
      </w:r>
      <w:r>
        <w:rPr>
          <w:rFonts w:ascii="Consolas" w:hAnsi="Consolas"/>
          <w:color w:val="333333"/>
          <w:sz w:val="18"/>
        </w:rPr>
        <w:t xml:space="preserve">     - 转型 PM → 优先 BPCE-01/02/06 + NCR-01</w:t>
      </w:r>
      <w:r>
        <w:br/>
      </w:r>
      <w:r>
        <w:rPr>
          <w:rFonts w:ascii="Consolas" w:hAnsi="Consolas"/>
          <w:color w:val="333333"/>
          <w:sz w:val="18"/>
        </w:rPr>
        <w:t xml:space="preserve">     - PMO/Senior PM → 优先 NCR-03 + BPCE-01 + NCR-01</w:t>
      </w:r>
      <w:r>
        <w:br/>
      </w:r>
      <w:r>
        <w:rPr>
          <w:rFonts w:ascii="Consolas" w:hAnsi="Consolas"/>
          <w:color w:val="333333"/>
          <w:sz w:val="18"/>
        </w:rPr>
        <w:t xml:space="preserve">     - 商业 IT PM/BA → 优先 BPCE-05/06 + NCR-01</w:t>
      </w:r>
      <w:r>
        <w:br/>
      </w:r>
      <w:r>
        <w:rPr>
          <w:rFonts w:ascii="Consolas" w:hAnsi="Consolas"/>
          <w:color w:val="333333"/>
          <w:sz w:val="18"/>
        </w:rPr>
        <w:t xml:space="preserve">     - BRM/IT Director → 优先 BPCE-01 + NCR-03 + BPCE-05</w:t>
      </w:r>
      <w:r>
        <w:br/>
      </w:r>
      <w:r>
        <w:rPr>
          <w:rFonts w:ascii="Consolas" w:hAnsi="Consolas"/>
          <w:color w:val="333333"/>
          <w:sz w:val="18"/>
        </w:rPr>
        <w:t xml:space="preserve">  3. 自检：每个案例查看"💡 自检"段，确认适用性</w:t>
      </w:r>
      <w:r>
        <w:br/>
      </w:r>
      <w:r>
        <w:rPr>
          <w:rFonts w:ascii="Consolas" w:hAnsi="Consolas"/>
          <w:color w:val="333333"/>
          <w:sz w:val="18"/>
        </w:rPr>
        <w:t xml:space="preserve">  4. 备选：多准备 1-2 个案例，防现场冷场</w:t>
      </w:r>
      <w:r>
        <w:br/>
      </w:r>
      <w:r>
        <w:rPr>
          <w:rFonts w:ascii="Consolas" w:hAnsi="Consolas"/>
          <w:color w:val="333333"/>
          <w:sz w:val="18"/>
        </w:rPr>
        <w:t xml:space="preserve">  ↓</w:t>
      </w:r>
      <w:r>
        <w:br/>
      </w:r>
      <w:r>
        <w:rPr>
          <w:rFonts w:ascii="Consolas" w:hAnsi="Consolas"/>
          <w:color w:val="333333"/>
          <w:sz w:val="18"/>
        </w:rPr>
        <w:t>Step 4：高频题准备</w:t>
      </w:r>
      <w:r>
        <w:br/>
      </w:r>
      <w:r>
        <w:rPr>
          <w:rFonts w:ascii="Consolas" w:hAnsi="Consolas"/>
          <w:color w:val="333333"/>
          <w:sz w:val="18"/>
        </w:rPr>
        <w:t xml:space="preserve">  - "介绍自己 / 为什么离开 BPCE / 期望薪资" 翻 [[HR首轮电话脚本]]</w:t>
      </w:r>
      <w:r>
        <w:br/>
      </w:r>
      <w:r>
        <w:rPr>
          <w:rFonts w:ascii="Consolas" w:hAnsi="Consolas"/>
          <w:color w:val="333333"/>
          <w:sz w:val="18"/>
        </w:rPr>
        <w:t xml:space="preserve">  - 行为题准备：基于 Step 3 选的案例口述一遍</w:t>
      </w:r>
      <w:r>
        <w:br/>
      </w:r>
      <w:r>
        <w:rPr>
          <w:rFonts w:ascii="Consolas" w:hAnsi="Consolas"/>
          <w:color w:val="333333"/>
          <w:sz w:val="18"/>
        </w:rPr>
        <w:t xml:space="preserve">  ↓</w:t>
      </w:r>
      <w:r>
        <w:br/>
      </w:r>
      <w:r>
        <w:rPr>
          <w:rFonts w:ascii="Consolas" w:hAnsi="Consolas"/>
          <w:color w:val="333333"/>
          <w:sz w:val="18"/>
        </w:rPr>
        <w:t>Step 5：反问问题准备</w:t>
      </w:r>
      <w:r>
        <w:br/>
      </w:r>
      <w:r>
        <w:rPr>
          <w:rFonts w:ascii="Consolas" w:hAnsi="Consolas"/>
          <w:color w:val="333333"/>
          <w:sz w:val="18"/>
        </w:rPr>
        <w:t xml:space="preserve">  - 至少准备 5 个问题（不止 2 个，避免被超出）</w:t>
      </w:r>
      <w:r>
        <w:br/>
      </w:r>
      <w:r>
        <w:rPr>
          <w:rFonts w:ascii="Consolas" w:hAnsi="Consolas"/>
          <w:color w:val="333333"/>
          <w:sz w:val="18"/>
        </w:rPr>
        <w:t xml:space="preserve">  ↓</w:t>
      </w:r>
      <w:r>
        <w:br/>
      </w:r>
      <w:r>
        <w:rPr>
          <w:rFonts w:ascii="Consolas" w:hAnsi="Consolas"/>
          <w:color w:val="333333"/>
          <w:sz w:val="18"/>
        </w:rPr>
        <w:t>面试结束当晚</w:t>
      </w:r>
      <w:r>
        <w:br/>
      </w:r>
      <w:r>
        <w:rPr>
          <w:rFonts w:ascii="Consolas" w:hAnsi="Consolas"/>
          <w:color w:val="333333"/>
          <w:sz w:val="18"/>
        </w:rPr>
        <w:t xml:space="preserve">  ↓</w:t>
      </w:r>
      <w:r>
        <w:br/>
      </w:r>
      <w:r>
        <w:rPr>
          <w:rFonts w:ascii="Consolas" w:hAnsi="Consolas"/>
          <w:color w:val="333333"/>
          <w:sz w:val="18"/>
        </w:rPr>
        <w:t>Step 6：复盘</w:t>
      </w:r>
      <w:r>
        <w:br/>
      </w:r>
      <w:r>
        <w:rPr>
          <w:rFonts w:ascii="Consolas" w:hAnsi="Consolas"/>
          <w:color w:val="333333"/>
          <w:sz w:val="18"/>
        </w:rPr>
        <w:t xml:space="preserve">  - 在面试档案里记：被问了什么 / 我答得怎样 / 哪些案例没用上 / 下次怎么改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案例库索引</w:t>
      </w:r>
    </w:p>
    <w:p>
      <w:r>
        <w:t>详细内容见 [[案例库]]。下表用于快速查找：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3135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一句话</w:t>
            </w:r>
          </w:p>
        </w:tc>
        <w:tc>
          <w:tcPr>
            <w:tcW w:type="dxa" w:w="3135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主要适用问题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CASE-BPCE-01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小份额撬动总部资源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领导力 / 跨矩阵影响 / 商业论证 / 谈判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CASE-BPCE-02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首批完整上线 ONE Platform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端到端 / ownership / 最自豪项目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CASE-BPCE-04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AI 知识库个人沉淀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创新 / 自驱 / 系统思维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CASE-BPCE-05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飞书低代码数据中枢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数据驱动 / 工具创新 / ROI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CASE-BPCE-06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ONE Platform 本地化业务适配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BA / 需求翻译 / 局外人视角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CASE-NCR-01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EPM 中国区上线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复杂项目 / 用户采纳 / 双向模糊性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CASE-NCR-03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15+ 并行项目组合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Portfolio 治理 / 资源冲突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CASE-WUXI-01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实验室数据共享 vs IP 保护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冲突管理 / 利益相关方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CASE-HERTZ-02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重组期职能重组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变革 / 不确定性 / 早期领导力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CASE-FAIL-01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被否决的提案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失败 / 反思 / 判断力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CASE-FAIL-02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跨矩阵误判对齐状态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失败 / 跨文化 / 教训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CASE-CONFLICT-01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Offshore dev team 关系修复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冲突管理 / 难协作团队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文件</w:t>
            </w:r>
          </w:p>
        </w:tc>
        <w:tc>
          <w:tcPr>
            <w:tcW w:type="dxa" w:w="3135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用途</w:t>
            </w:r>
          </w:p>
        </w:tc>
        <w:tc>
          <w:tcPr>
            <w:tcW w:type="dxa" w:w="3135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何时用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[[案例库]]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12 个 STAR 故事池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行为题（"Tell me about a time..."）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[[HR首轮电话脚本]]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标准 6 题 + 薪资话术 + 反问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HR 首轮电话 / 简短 phone screen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00000"/>
                <w:sz w:val="18"/>
              </w:rPr>
              <w:t>面试复盘/&lt;公司&gt;_&lt;日期&gt;.md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每场面试一份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  <w:r>
              <w:rPr>
                <w:sz w:val="18"/>
              </w:rPr>
              <w:t>面试前建档，面试后复盘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调用路径（按面试类型）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面试类型</w:t>
            </w:r>
          </w:p>
        </w:tc>
        <w:tc>
          <w:tcPr>
            <w:tcW w:type="dxa" w:w="4703"/>
            <w:shd w:fill="E8E8E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优先翻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HR 首轮电话（30min 内）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[[HR首轮电话脚本]]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用人经理首面（行为题为主）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[[案例库]] + 当场面试档案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跨部门面 / 业务面（数据/方案问得深）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案例库 BPCE-05/06、NCR-01 等深度案例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高层终面（战略 / why us / 5 年规划）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</w:r>
            <w:r>
              <w:rPr>
                <w:sz w:val="18"/>
              </w:rPr>
              <w:t>HR 脚本 + 案例库领导力故事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历史决策见 [[CLAUDE.md]] §3。模块化技能见 [[skill-modules/CN/00_模块索引]]。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