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44"/>
          <w:u w:val="none"/>
        </w:rPr>
        <w:t>刘小妍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上海</w:t>
      </w:r>
      <w:r>
        <w:rPr>
          <w:rFonts w:ascii="Times New Roman" w:hAnsi="Times New Roman" w:eastAsia="Times New Roman"/>
          <w:b w:val="0"/>
          <w:i w:val="0"/>
          <w:sz w:val="20"/>
          <w:u w:val="none"/>
        </w:rPr>
        <w:t xml:space="preserve"> | 15921978601 | olina11151@outlook.com</w:t>
        <w:br/>
        <w:t>英语（工作流利） · 普通话（母语）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个人概述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资深数字化转型项目集经理，专注跨境IT交付与投资组合治理，曾主导50M美元+项目组合提效，连续3年亚太区ROI位列前列。核心能力聚焦于端到端项目落地、组合级管控与资源提效——通过业务需求与技术能力的双向匹配将业务语言翻译为技术方案，同时在已有技术框架内约束需求、最大化复用；运用AI/Agent等工具提升项目效能，以小份额在跨国矩阵中撬动超比例资源。交付BPCE全球系统首批完整上线，实现高业务采纳率，部署方案被总部采纳为全球可复制模板。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工作经历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BPCE设备解决方案（法国BPCE银行集团）| 2022/11 – 至今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IT项目经理 | 汇报对象：COO | 上海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中国区IT项目负责人，从项目管理维度统筹新系统上线与数字化转型落地。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构建结构化PM知识库，以技术工具（AI/Agent）赋能项目复盘、场景推演与运营数据分析，沉淀为部门知识资产；搭建低代码项目数据中枢，覆盖需求、测试、风险、变更、里程碑全维度，以ROI数据驱动需求优先级决策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构建商业论证将中国需求定位为总部KPI加速器，以小份额为中国区争取总部工程资源与第二阶段资金；交付3个核心系统首批完整上线，推动跨部门利益相关方对齐与组织采纳、无重大关键缺陷，部署方案被总部采纳为全球可复制模板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负责双维度IT预算治理（损益表+现金流出追踪），量化构建成本与收益权衡，为总部资源优先级决策提供数据依据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代表中国区参与全球IT治理，使小份额市场在总部技术路线图中持续获得超比例权重；以系统上线推动业务规范化，通过系统强制逻辑修正数据质量与线下非标操作，将合规要求内化为业务流程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NCR公司 | 2016/09 – 2022/11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项目集经理 | PMO | 上海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负责50M美元+IT交付项目组合提效与资源整合，覆盖大中华区两大KA客户及多个中型客户，统筹全局管控与跨项目资源调配。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统筹两大KA客户及其中型客户项目集资源分配，通过跨客户需求整合与工程产能优化，连续3年（2019-2021）亚太区ROI位列前列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主导EPM系统中国区推广：在无额外人力消耗下完成部署，无重大数据迁移事故，3个月内95%用户采纳；主导百胜华东业务转型：备件仓成本节约5%、人力成本削减20%，转型方案复制至3个额外客户</w:t>
      </w:r>
    </w:p>
    <w:p>
      <w:pPr>
        <w:spacing w:before="20" w:after="20" w:line="259" w:lineRule="auto"/>
        <w:ind w:left="283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•   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>20+次生产发布无重大部署故障；3年审计期无重大财务合规事故；担任RFP与QBR论坛跨组合专家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药明康德 | 2015/05 – 2016/08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高级项目经理 | 商业运营 | 上海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跨职能项目管理，平衡实验室数据共享需求与知识产权保护标准；建立精益六西格玛问题解决框架。</w:t>
      </w:r>
    </w:p>
    <w:p>
      <w:pPr>
        <w:spacing w:before="240" w:after="80" w:line="259" w:lineRule="auto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赫兹租车 | 2011/12 – 2015/04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客户关怀主管 | 汇报对象：中国区总裁（SVP） | 上海</w:t>
      </w:r>
    </w:p>
    <w:p>
      <w:pPr>
        <w:spacing w:before="60" w:after="4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通过全球协作开发首个标准化售后手册；在重组期间建立供应商记分卡与SLA分析框架。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教育背景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/>
          <w:i w:val="0"/>
          <w:sz w:val="21"/>
          <w:u w:val="none"/>
        </w:rPr>
        <w:t>伍伦贡大学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国际商务硕士 | 2010 – 2011</w:t>
        <w:br/>
      </w:r>
      <w:r>
        <w:rPr>
          <w:rFonts w:ascii="Times New Roman" w:hAnsi="Times New Roman" w:eastAsia="Times New Roman"/>
          <w:b/>
          <w:i w:val="0"/>
          <w:sz w:val="21"/>
          <w:u w:val="none"/>
        </w:rPr>
        <w:t>中央昆士兰大学</w:t>
      </w:r>
      <w:r>
        <w:rPr>
          <w:rFonts w:ascii="Times New Roman" w:hAnsi="Times New Roman" w:eastAsia="Times New Roman"/>
          <w:b w:val="0"/>
          <w:i w:val="0"/>
          <w:sz w:val="21"/>
          <w:u w:val="none"/>
        </w:rPr>
        <w:t xml:space="preserve"> | 会计学学士 | 2008 – 2010</w:t>
      </w:r>
    </w:p>
    <w:p>
      <w:pPr>
        <w:spacing w:before="160" w:after="16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color w:val="CCCCCC"/>
          <w:sz w:val="16"/>
          <w:u w:val="none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120" w:line="259" w:lineRule="auto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专业认证</w:t>
      </w:r>
    </w:p>
    <w:p>
      <w:pPr>
        <w:spacing w:before="120" w:after="60" w:line="259" w:lineRule="auto"/>
      </w:pPr>
      <w:r>
        <w:rPr>
          <w:rFonts w:ascii="Times New Roman" w:hAnsi="Times New Roman" w:eastAsia="Times New Roman"/>
          <w:b w:val="0"/>
          <w:i w:val="0"/>
          <w:sz w:val="21"/>
          <w:u w:val="none"/>
        </w:rPr>
        <w:t>PMP（2018） · ITIL基础（2021） · 精益六西格玛黄带（2015） · 大模型应用开发工程师（IITC）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