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44"/>
          <w:u w:val="none"/>
        </w:rPr>
        <w:t>Olina Liu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Shanghai</w:t>
      </w: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| +86 15921978601 | olina11151@outlook.com</w:t>
        <w:br/>
        <w:t>English (business proficient) · Mandarin (native)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Summary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Seasoned Digital Transformation Program Manager specializing in cross-border IT delivery and portfolio governance, with a track record of driving efficiency optimization for a $50M+ project portfolio and achieving 3 consecutive years of top-ranked APAC ROI. Core capabilities span end-to-end delivery execution, portfolio-level governance, and resource efficiency — enabled by bi-directional matching between business requirements and technical capabilities, translating business language into technical solutions while scoping within existing frameworks to maximize reuse; leveraging AI/Agent tools to elevate project efficiency and securing outsized influence for small-share markets within a multinational matrix. Delivered among BPCE's first complete global-system rollouts, achieving high business adoption, with deployment approach adopted as global replicable template.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Experience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BPCE Equipment Solutions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IT Project Manager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Nov 2022 – Present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China IT project lead, orchestrating new-system rollout and digital transformation from the program management perspective. Reporting to COO.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Built structured PM knowledge base with technology tools (AI/Agent) for project retrospectives, scenario analysis, and operational data review, institutionalized as a departmental knowledge asset; designed low-code project data hub covering requirements, testing, risks, changes, and milestones end-to-end, with ROI-driven demand prioritization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Positioned China's requirements as HQ KPI accelerator through business case advocacy, securing engineering resources and second-phase funding for a small-share entity; delivered 3 core systems among the first complete global rollouts — achieved high business utilization through cross-functional stakeholder alignment, no major defects, and deployment approach adopted as global replicable template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Owned dual-dimension IT budget governance (P&amp;L + cash-out tracking), quantifying build-cost vs. business-benefit trade-offs to inform HQ resource prioritization decisions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Represented China in global IT governance, ensuring the small-share market maintained outsized weight in HQ technology roadmap decisions; leveraged system rollout to drive operational standardization — correcting data quality issues and non-standard offline practices through system-enforced logic, embedding compliance requirements into business processes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NCR Corporation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Program Manager, PMO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Sep 2016 – Nov 2022 (6 years 2 months)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Governed $50M+ IT delivery portfolio efficiency and resource consolidation across Greater China, overseeing two major KA accounts and several mid-sized clients.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Governed resource allocation across two major KA accounts and mid-sized client portfolios, achieving 3 consecutive years (2019–2021) of top-ranked APAC portfolio ROI through cross-customer requirement consolidation and engineering capacity optimization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Led EPM system rollout in China without additional headcount, achieving 95% user adoption within 3 months and no major data migration incidents; led Yum! East China business transformation (5% warehouse cost savings, 20% labor reduction, playbook replicated to 3 additional accounts)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>Maintained 20+ production releases with no major deployment failures and 3-year audit period with no major financial compliance incidents; served as cross-portfolio expert in RFP and QBR forums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WuXi AppTec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Project Manager, Commercial Operations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May 2015 – Aug 2016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Managed cross-functional projects balancing laboratory data sharing with IP protection standards; established Lean Six Sigma problem-solving framework.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Hertz RAC | Shanghai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Customer Care Supervisor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2011 – Apr 2015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Led customer service team during global restructuring. Developed first standardized after-sales issue handbook through global collaboration; established vendor scorecard and SLA analysis framework.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Education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/>
          <w:i w:val="0"/>
          <w:sz w:val="21"/>
          <w:u w:val="none"/>
        </w:rPr>
        <w:t>Master of International Business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University of Wollongong, Australia | Mar 2010 – Mar 2011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Accounting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Central Queensland University, Australia | Mar 2008 – Feb 2010</w:t>
        <w:br/>
      </w:r>
      <w:r>
        <w:rPr>
          <w:rFonts w:ascii="Times New Roman" w:hAnsi="Times New Roman" w:eastAsia="Times New Roman"/>
          <w:b/>
          <w:i w:val="0"/>
          <w:sz w:val="21"/>
          <w:u w:val="none"/>
        </w:rPr>
        <w:t>Bachelor of Economics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Jishou University, China | Sep 2004 – Mar 2008</w:t>
      </w:r>
    </w:p>
    <w:p>
      <w:pPr>
        <w:spacing w:before="16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Certifications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PMP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(Project Management Professional) | Dec 2018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ITIL Foundation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Dec 2021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Lean Six Sigma Yellow Belt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Oct–Nov 2015</w:t>
      </w:r>
    </w:p>
    <w:p>
      <w:pPr>
        <w:spacing w:before="20" w:after="20" w:line="259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•   </w:t>
      </w:r>
      <w:r>
        <w:rPr>
          <w:rFonts w:ascii="Times New Roman" w:hAnsi="Times New Roman" w:eastAsia="Times New Roman"/>
          <w:b/>
          <w:i w:val="0"/>
          <w:sz w:val="21"/>
          <w:u w:val="none"/>
        </w:rPr>
        <w:t>Large Model Application Development Engineer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| IITC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