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59" w:lineRule="auto"/>
        <w:jc w:val="center"/>
      </w:pPr>
      <w:r>
        <w:rPr>
          <w:rFonts w:ascii="Times New Roman" w:hAnsi="Times New Roman" w:eastAsia="Times New Roman"/>
          <w:b/>
          <w:i w:val="0"/>
          <w:sz w:val="44"/>
          <w:u w:val="none"/>
        </w:rPr>
        <w:t>Olina Liu</w:t>
      </w:r>
    </w:p>
    <w:p>
      <w:pPr>
        <w:spacing w:before="0" w:after="120" w:line="259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  <w:u w:val="none"/>
        </w:rPr>
        <w:t>Shanghai</w:t>
      </w:r>
      <w:r>
        <w:rPr>
          <w:rFonts w:ascii="Times New Roman" w:hAnsi="Times New Roman" w:eastAsia="Times New Roman"/>
          <w:b w:val="0"/>
          <w:i w:val="0"/>
          <w:sz w:val="20"/>
          <w:u w:val="none"/>
        </w:rPr>
        <w:t xml:space="preserve"> | +86 15921978601 | olina11151@outlook.com</w:t>
        <w:br/>
        <w:t>English (business proficient) · Mandarin (native)</w:t>
      </w:r>
    </w:p>
    <w:p>
      <w:pPr>
        <w:spacing w:before="160" w:after="160" w:line="259" w:lineRule="auto"/>
        <w:jc w:val="center"/>
      </w:pPr>
      <w:r>
        <w:rPr>
          <w:rFonts w:ascii="Times New Roman" w:hAnsi="Times New Roman" w:eastAsia="Times New Roman"/>
          <w:b w:val="0"/>
          <w:i w:val="0"/>
          <w:color w:val="CCCCCC"/>
          <w:sz w:val="16"/>
          <w:u w:val="none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40" w:after="120" w:line="259" w:lineRule="auto"/>
      </w:pPr>
      <w:r>
        <w:rPr>
          <w:rFonts w:ascii="Times New Roman" w:hAnsi="Times New Roman" w:eastAsia="Times New Roman"/>
          <w:b/>
          <w:i w:val="0"/>
          <w:sz w:val="32"/>
          <w:u w:val="none"/>
        </w:rPr>
        <w:t>Professional Profile</w:t>
      </w:r>
    </w:p>
    <w:p>
      <w:pPr>
        <w:spacing w:before="120" w:after="60" w:line="259" w:lineRule="auto"/>
      </w:pPr>
      <w:r>
        <w:rPr>
          <w:rFonts w:ascii="Times New Roman" w:hAnsi="Times New Roman" w:eastAsia="Times New Roman"/>
          <w:b/>
          <w:i w:val="0"/>
          <w:sz w:val="21"/>
          <w:u w:val="none"/>
        </w:rPr>
        <w:t>AI-Enabled Program Manager in FinTech</w:t>
      </w:r>
      <w:r>
        <w:rPr>
          <w:rFonts w:ascii="Times New Roman" w:hAnsi="Times New Roman" w:eastAsia="Times New Roman"/>
          <w:b w:val="0"/>
          <w:i w:val="0"/>
          <w:sz w:val="21"/>
          <w:u w:val="none"/>
        </w:rPr>
        <w:t xml:space="preserve"> — 14 years delivering cross-border digital transformation in multinational banking and financial services. Systematically integrated AI across the project lifecycle, building a structured PM knowledge base that drove </w:t>
      </w:r>
      <w:r>
        <w:rPr>
          <w:rFonts w:ascii="Times New Roman" w:hAnsi="Times New Roman" w:eastAsia="Times New Roman"/>
          <w:b/>
          <w:i w:val="0"/>
          <w:sz w:val="21"/>
          <w:u w:val="none"/>
        </w:rPr>
        <w:t>20-25% efficiency gains</w:t>
      </w:r>
      <w:r>
        <w:rPr>
          <w:rFonts w:ascii="Times New Roman" w:hAnsi="Times New Roman" w:eastAsia="Times New Roman"/>
          <w:b w:val="0"/>
          <w:i w:val="0"/>
          <w:sz w:val="21"/>
          <w:u w:val="none"/>
        </w:rPr>
        <w:t>. Pioneered low-code data hubs enabling ROI-driven demand governance. Proven track record: $50M+ portfolio, #1 APAC ROI (3 consecutive years), zero compliance incidents under China banking regulators.</w:t>
      </w:r>
    </w:p>
    <w:p>
      <w:pPr>
        <w:spacing w:before="160" w:after="160" w:line="259" w:lineRule="auto"/>
        <w:jc w:val="center"/>
      </w:pPr>
      <w:r>
        <w:rPr>
          <w:rFonts w:ascii="Times New Roman" w:hAnsi="Times New Roman" w:eastAsia="Times New Roman"/>
          <w:b w:val="0"/>
          <w:i w:val="0"/>
          <w:color w:val="CCCCCC"/>
          <w:sz w:val="16"/>
          <w:u w:val="none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40" w:after="120" w:line="259" w:lineRule="auto"/>
      </w:pPr>
      <w:r>
        <w:rPr>
          <w:rFonts w:ascii="Times New Roman" w:hAnsi="Times New Roman" w:eastAsia="Times New Roman"/>
          <w:b/>
          <w:i w:val="0"/>
          <w:sz w:val="32"/>
          <w:u w:val="none"/>
        </w:rPr>
        <w:t>Core Competencies</w:t>
      </w:r>
    </w:p>
    <w:p>
      <w:pPr>
        <w:spacing w:before="20" w:after="20" w:line="259" w:lineRule="auto"/>
        <w:ind w:left="283"/>
      </w:pPr>
      <w:r>
        <w:rPr>
          <w:rFonts w:ascii="Times New Roman" w:hAnsi="Times New Roman" w:eastAsia="Times New Roman"/>
          <w:b w:val="0"/>
          <w:i w:val="0"/>
          <w:sz w:val="21"/>
          <w:u w:val="none"/>
        </w:rPr>
        <w:t xml:space="preserve">•   </w:t>
      </w:r>
      <w:r>
        <w:rPr>
          <w:rFonts w:ascii="Times New Roman" w:hAnsi="Times New Roman" w:eastAsia="Times New Roman"/>
          <w:b/>
          <w:i w:val="0"/>
          <w:sz w:val="21"/>
          <w:u w:val="none"/>
        </w:rPr>
        <w:t>AI-Enhanced Project Delivery</w:t>
      </w:r>
      <w:r>
        <w:rPr>
          <w:rFonts w:ascii="Times New Roman" w:hAnsi="Times New Roman" w:eastAsia="Times New Roman"/>
          <w:b w:val="0"/>
          <w:i w:val="0"/>
          <w:sz w:val="21"/>
          <w:u w:val="none"/>
        </w:rPr>
        <w:t>: Systematic AI integration across requirements analysis, risk simulation, and stakeholder communications — 20-25% overall efficiency improvement</w:t>
      </w:r>
    </w:p>
    <w:p>
      <w:pPr>
        <w:spacing w:before="20" w:after="20" w:line="259" w:lineRule="auto"/>
        <w:ind w:left="283"/>
      </w:pPr>
      <w:r>
        <w:rPr>
          <w:rFonts w:ascii="Times New Roman" w:hAnsi="Times New Roman" w:eastAsia="Times New Roman"/>
          <w:b w:val="0"/>
          <w:i w:val="0"/>
          <w:sz w:val="21"/>
          <w:u w:val="none"/>
        </w:rPr>
        <w:t xml:space="preserve">•   </w:t>
      </w:r>
      <w:r>
        <w:rPr>
          <w:rFonts w:ascii="Times New Roman" w:hAnsi="Times New Roman" w:eastAsia="Times New Roman"/>
          <w:b/>
          <w:i w:val="0"/>
          <w:sz w:val="21"/>
          <w:u w:val="none"/>
        </w:rPr>
        <w:t>Data-Driven Governance</w:t>
      </w:r>
      <w:r>
        <w:rPr>
          <w:rFonts w:ascii="Times New Roman" w:hAnsi="Times New Roman" w:eastAsia="Times New Roman"/>
          <w:b w:val="0"/>
          <w:i w:val="0"/>
          <w:sz w:val="21"/>
          <w:u w:val="none"/>
        </w:rPr>
        <w:t>: Low-code project data hub (Feishu) with ROI + utilization analytics driving demand prioritization; Power BI dashboard requirements aligned with HQ reporting standards</w:t>
      </w:r>
    </w:p>
    <w:p>
      <w:pPr>
        <w:spacing w:before="20" w:after="20" w:line="259" w:lineRule="auto"/>
        <w:ind w:left="283"/>
      </w:pPr>
      <w:r>
        <w:rPr>
          <w:rFonts w:ascii="Times New Roman" w:hAnsi="Times New Roman" w:eastAsia="Times New Roman"/>
          <w:b w:val="0"/>
          <w:i w:val="0"/>
          <w:sz w:val="21"/>
          <w:u w:val="none"/>
        </w:rPr>
        <w:t xml:space="preserve">•   </w:t>
      </w:r>
      <w:r>
        <w:rPr>
          <w:rFonts w:ascii="Times New Roman" w:hAnsi="Times New Roman" w:eastAsia="Times New Roman"/>
          <w:b/>
          <w:i w:val="0"/>
          <w:sz w:val="21"/>
          <w:u w:val="none"/>
        </w:rPr>
        <w:t>FinTech Compliance</w:t>
      </w:r>
      <w:r>
        <w:rPr>
          <w:rFonts w:ascii="Times New Roman" w:hAnsi="Times New Roman" w:eastAsia="Times New Roman"/>
          <w:b w:val="0"/>
          <w:i w:val="0"/>
          <w:sz w:val="21"/>
          <w:u w:val="none"/>
        </w:rPr>
        <w:t>: PIPL/GDPR dual-jurisdiction compliance for overseas-hosted banking platforms; 6-year zero-violation record under China banking regulators</w:t>
      </w:r>
    </w:p>
    <w:p>
      <w:pPr>
        <w:spacing w:before="20" w:after="20" w:line="259" w:lineRule="auto"/>
        <w:ind w:left="283"/>
      </w:pPr>
      <w:r>
        <w:rPr>
          <w:rFonts w:ascii="Times New Roman" w:hAnsi="Times New Roman" w:eastAsia="Times New Roman"/>
          <w:b w:val="0"/>
          <w:i w:val="0"/>
          <w:sz w:val="21"/>
          <w:u w:val="none"/>
        </w:rPr>
        <w:t xml:space="preserve">•   </w:t>
      </w:r>
      <w:r>
        <w:rPr>
          <w:rFonts w:ascii="Times New Roman" w:hAnsi="Times New Roman" w:eastAsia="Times New Roman"/>
          <w:b/>
          <w:i w:val="0"/>
          <w:sz w:val="21"/>
          <w:u w:val="none"/>
        </w:rPr>
        <w:t>Portfolio Management</w:t>
      </w:r>
      <w:r>
        <w:rPr>
          <w:rFonts w:ascii="Times New Roman" w:hAnsi="Times New Roman" w:eastAsia="Times New Roman"/>
          <w:b w:val="0"/>
          <w:i w:val="0"/>
          <w:sz w:val="21"/>
          <w:u w:val="none"/>
        </w:rPr>
        <w:t>: $50M+ IT delivery portfolio, 15+ concurrent projects, cross-client requirement consolidation</w:t>
      </w:r>
    </w:p>
    <w:p>
      <w:pPr>
        <w:spacing w:before="160" w:after="160" w:line="259" w:lineRule="auto"/>
        <w:jc w:val="center"/>
      </w:pPr>
      <w:r>
        <w:rPr>
          <w:rFonts w:ascii="Times New Roman" w:hAnsi="Times New Roman" w:eastAsia="Times New Roman"/>
          <w:b w:val="0"/>
          <w:i w:val="0"/>
          <w:color w:val="CCCCCC"/>
          <w:sz w:val="16"/>
          <w:u w:val="none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40" w:after="120" w:line="259" w:lineRule="auto"/>
      </w:pPr>
      <w:r>
        <w:rPr>
          <w:rFonts w:ascii="Times New Roman" w:hAnsi="Times New Roman" w:eastAsia="Times New Roman"/>
          <w:b/>
          <w:i w:val="0"/>
          <w:sz w:val="32"/>
          <w:u w:val="none"/>
        </w:rPr>
        <w:t>Experience</w:t>
      </w:r>
    </w:p>
    <w:p>
      <w:pPr>
        <w:spacing w:before="240" w:after="80" w:line="259" w:lineRule="auto"/>
      </w:pPr>
      <w:r>
        <w:rPr>
          <w:rFonts w:ascii="Times New Roman" w:hAnsi="Times New Roman" w:eastAsia="Times New Roman"/>
          <w:b/>
          <w:i w:val="0"/>
          <w:sz w:val="28"/>
          <w:u w:val="none"/>
        </w:rPr>
        <w:t>BPCE Equipment Solutions (Groupe BPCE, France) | 2022/11 – Present</w:t>
      </w:r>
    </w:p>
    <w:p>
      <w:pPr>
        <w:spacing w:before="120" w:after="60" w:line="259" w:lineRule="auto"/>
      </w:pPr>
      <w:r>
        <w:rPr>
          <w:rFonts w:ascii="Times New Roman" w:hAnsi="Times New Roman" w:eastAsia="Times New Roman"/>
          <w:b/>
          <w:i w:val="0"/>
          <w:sz w:val="21"/>
          <w:u w:val="none"/>
        </w:rPr>
        <w:t>IT Project Manager, OPS/IT | Reports to: COO | Shanghai</w:t>
      </w:r>
    </w:p>
    <w:p>
      <w:pPr>
        <w:spacing w:before="60" w:after="40" w:line="259" w:lineRule="auto"/>
      </w:pPr>
      <w:r>
        <w:rPr>
          <w:rFonts w:ascii="Times New Roman" w:hAnsi="Times New Roman" w:eastAsia="Times New Roman"/>
          <w:b w:val="0"/>
          <w:i w:val="0"/>
          <w:sz w:val="21"/>
          <w:u w:val="none"/>
        </w:rPr>
        <w:t>Sole full-time PM for China operations. End-to-end ownership of IT system delivery, budget governance, and AI-driven process innovation.</w:t>
      </w:r>
    </w:p>
    <w:p>
      <w:pPr>
        <w:spacing w:before="60" w:after="40" w:line="259" w:lineRule="auto"/>
      </w:pPr>
      <w:r>
        <w:rPr>
          <w:rFonts w:ascii="Times New Roman" w:hAnsi="Times New Roman" w:eastAsia="Times New Roman"/>
          <w:b/>
          <w:i w:val="0"/>
          <w:sz w:val="21"/>
          <w:u w:val="none"/>
        </w:rPr>
        <w:t>AI-Enabled Project Management</w:t>
      </w:r>
      <w:r>
        <w:rPr>
          <w:rFonts w:ascii="Times New Roman" w:hAnsi="Times New Roman" w:eastAsia="Times New Roman"/>
          <w:b w:val="0"/>
          <w:i w:val="0"/>
          <w:sz w:val="21"/>
          <w:u w:val="none"/>
        </w:rPr>
        <w:br/>
        <w:t xml:space="preserve">- Built a structured PM knowledge base (decision frameworks, historical cases, business rules) integrated with AI tools across the project lifecycle — </w:t>
      </w:r>
      <w:r>
        <w:rPr>
          <w:rFonts w:ascii="Times New Roman" w:hAnsi="Times New Roman" w:eastAsia="Times New Roman"/>
          <w:b/>
          <w:i w:val="0"/>
          <w:sz w:val="21"/>
          <w:u w:val="none"/>
        </w:rPr>
        <w:t>20-25% overall efficiency improvement</w:t>
      </w:r>
      <w:r>
        <w:rPr>
          <w:rFonts w:ascii="Times New Roman" w:hAnsi="Times New Roman" w:eastAsia="Times New Roman"/>
          <w:b w:val="0"/>
          <w:i w:val="0"/>
          <w:sz w:val="21"/>
          <w:u w:val="none"/>
        </w:rPr>
        <w:t>, requirements analysis cycle shortened ~15%, daily management time saved ~25%</w:t>
        <w:br/>
        <w:t>- Designed and implemented low-code project data hub (Feishu multidimensional tables) covering requirements, test cases, risks, changes, and milestones — replaced scattered Excel/email silos with single source of truth</w:t>
        <w:br/>
        <w:t>- Led Power BI operational dashboard requirements analysis, aligning China KPI needs with HQ BI team templates; defined data sources, refresh frequency, and access control requirements</w:t>
        <w:br/>
        <w:t>- Established data-driven demand prioritization framework using ROI + business utilization analytics, shifting prioritization from subjective debate to evidence-based decision-making</w:t>
      </w:r>
    </w:p>
    <w:p>
      <w:pPr>
        <w:spacing w:before="60" w:after="40" w:line="259" w:lineRule="auto"/>
      </w:pPr>
      <w:r>
        <w:rPr>
          <w:rFonts w:ascii="Times New Roman" w:hAnsi="Times New Roman" w:eastAsia="Times New Roman"/>
          <w:b/>
          <w:i w:val="0"/>
          <w:sz w:val="21"/>
          <w:u w:val="none"/>
        </w:rPr>
        <w:t>Cross-Border Digital Transformation</w:t>
      </w:r>
      <w:r>
        <w:rPr>
          <w:rFonts w:ascii="Times New Roman" w:hAnsi="Times New Roman" w:eastAsia="Times New Roman"/>
          <w:b w:val="0"/>
          <w:i w:val="0"/>
          <w:sz w:val="21"/>
          <w:u w:val="none"/>
        </w:rPr>
        <w:br/>
        <w:t>- Built business cases positioning China needs as HQ-KPI accelerators, securing priority engineering capacity and Phase 2 funding for China — smallest global entity by share — under competitive cost-allocation</w:t>
        <w:br/>
        <w:t xml:space="preserve">- Delivered BPCE's first complete global-entity go-live (3 core systems): </w:t>
      </w:r>
      <w:r>
        <w:rPr>
          <w:rFonts w:ascii="Times New Roman" w:hAnsi="Times New Roman" w:eastAsia="Times New Roman"/>
          <w:b/>
          <w:i w:val="0"/>
          <w:sz w:val="21"/>
          <w:u w:val="none"/>
        </w:rPr>
        <w:t>100% business adoption within 2 months</w:t>
      </w:r>
      <w:r>
        <w:rPr>
          <w:rFonts w:ascii="Times New Roman" w:hAnsi="Times New Roman" w:eastAsia="Times New Roman"/>
          <w:b w:val="0"/>
          <w:i w:val="0"/>
          <w:sz w:val="21"/>
          <w:u w:val="none"/>
        </w:rPr>
        <w:t xml:space="preserve">, zero critical defects, deployment adopted as </w:t>
      </w:r>
      <w:r>
        <w:rPr>
          <w:rFonts w:ascii="Times New Roman" w:hAnsi="Times New Roman" w:eastAsia="Times New Roman"/>
          <w:b/>
          <w:i w:val="0"/>
          <w:sz w:val="21"/>
          <w:u w:val="none"/>
        </w:rPr>
        <w:t>replicable global template</w:t>
      </w:r>
      <w:r>
        <w:rPr>
          <w:rFonts w:ascii="Times New Roman" w:hAnsi="Times New Roman" w:eastAsia="Times New Roman"/>
          <w:b w:val="0"/>
          <w:i w:val="0"/>
          <w:sz w:val="21"/>
          <w:u w:val="none"/>
        </w:rPr>
        <w:br/>
        <w:t>- Owned dual-dimension IT budget governance (P&amp;L + cash-out tracking) with quantified build-vs-benefit trade-offs; shaped 70% operational cost reduction roadmap embedded in HQ strategic planning</w:t>
      </w:r>
    </w:p>
    <w:p>
      <w:pPr>
        <w:spacing w:before="60" w:after="40" w:line="259" w:lineRule="auto"/>
      </w:pPr>
      <w:r>
        <w:rPr>
          <w:rFonts w:ascii="Times New Roman" w:hAnsi="Times New Roman" w:eastAsia="Times New Roman"/>
          <w:b/>
          <w:i w:val="0"/>
          <w:sz w:val="21"/>
          <w:u w:val="none"/>
        </w:rPr>
        <w:t>Regulatory Compliance</w:t>
      </w:r>
      <w:r>
        <w:rPr>
          <w:rFonts w:ascii="Times New Roman" w:hAnsi="Times New Roman" w:eastAsia="Times New Roman"/>
          <w:b w:val="0"/>
          <w:i w:val="0"/>
          <w:sz w:val="21"/>
          <w:u w:val="none"/>
        </w:rPr>
        <w:br/>
        <w:t>- Drove China-side PIPL compliance workstream for overseas-hosted banking platforms: delivered Personal Information Protection Impact Assessment (PIPIA) and end-to-end data mapping</w:t>
        <w:br/>
        <w:t>- Sustained PIPL + EU GDPR dual-jurisdiction alignment across 2-year rollout cycle in partnership with local legal counsel and HQ data protection teams</w:t>
      </w:r>
    </w:p>
    <w:p>
      <w:pPr>
        <w:spacing w:before="240" w:after="80" w:line="259" w:lineRule="auto"/>
      </w:pPr>
      <w:r>
        <w:rPr>
          <w:rFonts w:ascii="Times New Roman" w:hAnsi="Times New Roman" w:eastAsia="Times New Roman"/>
          <w:b/>
          <w:i w:val="0"/>
          <w:sz w:val="28"/>
          <w:u w:val="none"/>
        </w:rPr>
        <w:t>NCR Corporation | 2016/09 – 2022/11</w:t>
      </w:r>
    </w:p>
    <w:p>
      <w:pPr>
        <w:spacing w:before="120" w:after="60" w:line="259" w:lineRule="auto"/>
      </w:pPr>
      <w:r>
        <w:rPr>
          <w:rFonts w:ascii="Times New Roman" w:hAnsi="Times New Roman" w:eastAsia="Times New Roman"/>
          <w:b/>
          <w:i w:val="0"/>
          <w:sz w:val="21"/>
          <w:u w:val="none"/>
        </w:rPr>
        <w:t>Program Manager, PMO | Shanghai</w:t>
      </w:r>
    </w:p>
    <w:p>
      <w:pPr>
        <w:spacing w:before="60" w:after="40" w:line="259" w:lineRule="auto"/>
      </w:pPr>
      <w:r>
        <w:rPr>
          <w:rFonts w:ascii="Times New Roman" w:hAnsi="Times New Roman" w:eastAsia="Times New Roman"/>
          <w:b w:val="0"/>
          <w:i w:val="0"/>
          <w:sz w:val="21"/>
          <w:u w:val="none"/>
        </w:rPr>
        <w:t>Managed $50M+ IT delivery portfolio spanning 15+ concurrent projects across Greater China, covering two major industry KA clients.</w:t>
      </w:r>
    </w:p>
    <w:p>
      <w:pPr>
        <w:spacing w:before="20" w:after="20" w:line="259" w:lineRule="auto"/>
        <w:ind w:left="283"/>
      </w:pPr>
      <w:r>
        <w:rPr>
          <w:rFonts w:ascii="Times New Roman" w:hAnsi="Times New Roman" w:eastAsia="Times New Roman"/>
          <w:b w:val="0"/>
          <w:i w:val="0"/>
          <w:sz w:val="21"/>
          <w:u w:val="none"/>
        </w:rPr>
        <w:t xml:space="preserve">•   </w:t>
      </w:r>
      <w:r>
        <w:rPr>
          <w:rFonts w:ascii="Times New Roman" w:hAnsi="Times New Roman" w:eastAsia="Times New Roman"/>
          <w:b/>
          <w:i w:val="0"/>
          <w:sz w:val="21"/>
          <w:u w:val="none"/>
        </w:rPr>
        <w:t>#1 APAC ROI</w:t>
      </w:r>
      <w:r>
        <w:rPr>
          <w:rFonts w:ascii="Times New Roman" w:hAnsi="Times New Roman" w:eastAsia="Times New Roman"/>
          <w:b w:val="0"/>
          <w:i w:val="0"/>
          <w:sz w:val="21"/>
          <w:u w:val="none"/>
        </w:rPr>
        <w:t xml:space="preserve"> for 3 consecutive years (2019-2021) through cross-portfolio requirement consolidation and resource optimization</w:t>
      </w:r>
    </w:p>
    <w:p>
      <w:pPr>
        <w:spacing w:before="20" w:after="20" w:line="259" w:lineRule="auto"/>
        <w:ind w:left="283"/>
      </w:pPr>
      <w:r>
        <w:rPr>
          <w:rFonts w:ascii="Times New Roman" w:hAnsi="Times New Roman" w:eastAsia="Times New Roman"/>
          <w:b w:val="0"/>
          <w:i w:val="0"/>
          <w:sz w:val="21"/>
          <w:u w:val="none"/>
        </w:rPr>
        <w:t xml:space="preserve">•   </w:t>
      </w:r>
      <w:r>
        <w:rPr>
          <w:rFonts w:ascii="Times New Roman" w:hAnsi="Times New Roman" w:eastAsia="Times New Roman"/>
          <w:b/>
          <w:i w:val="0"/>
          <w:sz w:val="21"/>
          <w:u w:val="none"/>
        </w:rPr>
        <w:t>20+ production releases with zero major deployment failures</w:t>
      </w:r>
      <w:r>
        <w:rPr>
          <w:rFonts w:ascii="Times New Roman" w:hAnsi="Times New Roman" w:eastAsia="Times New Roman"/>
          <w:b w:val="0"/>
          <w:i w:val="0"/>
          <w:sz w:val="21"/>
          <w:u w:val="none"/>
        </w:rPr>
        <w:t>; zero financial data compliance incidents over 3-year audit period</w:t>
      </w:r>
    </w:p>
    <w:p>
      <w:pPr>
        <w:spacing w:before="20" w:after="20" w:line="259" w:lineRule="auto"/>
        <w:ind w:left="283"/>
      </w:pPr>
      <w:r>
        <w:rPr>
          <w:rFonts w:ascii="Times New Roman" w:hAnsi="Times New Roman" w:eastAsia="Times New Roman"/>
          <w:b w:val="0"/>
          <w:i w:val="0"/>
          <w:sz w:val="21"/>
          <w:u w:val="none"/>
        </w:rPr>
        <w:t xml:space="preserve">•   </w:t>
      </w:r>
      <w:r>
        <w:rPr>
          <w:rFonts w:ascii="Times New Roman" w:hAnsi="Times New Roman" w:eastAsia="Times New Roman"/>
          <w:b w:val="0"/>
          <w:i w:val="0"/>
          <w:sz w:val="21"/>
          <w:u w:val="none"/>
        </w:rPr>
        <w:t>Cross-portfolio SME in RFP and QBR forums; owned vendor scorecards and SLA analytics</w:t>
      </w:r>
    </w:p>
    <w:p>
      <w:pPr>
        <w:spacing w:before="20" w:after="20" w:line="259" w:lineRule="auto"/>
        <w:ind w:left="283"/>
      </w:pPr>
      <w:r>
        <w:rPr>
          <w:rFonts w:ascii="Times New Roman" w:hAnsi="Times New Roman" w:eastAsia="Times New Roman"/>
          <w:b w:val="0"/>
          <w:i w:val="0"/>
          <w:sz w:val="21"/>
          <w:u w:val="none"/>
        </w:rPr>
        <w:t xml:space="preserve">•   </w:t>
      </w:r>
      <w:r>
        <w:rPr>
          <w:rFonts w:ascii="Times New Roman" w:hAnsi="Times New Roman" w:eastAsia="Times New Roman"/>
          <w:b w:val="0"/>
          <w:i w:val="0"/>
          <w:sz w:val="21"/>
          <w:u w:val="none"/>
        </w:rPr>
        <w:t xml:space="preserve">EPM system China rollout: </w:t>
      </w:r>
      <w:r>
        <w:rPr>
          <w:rFonts w:ascii="Times New Roman" w:hAnsi="Times New Roman" w:eastAsia="Times New Roman"/>
          <w:b/>
          <w:i w:val="0"/>
          <w:sz w:val="21"/>
          <w:u w:val="none"/>
        </w:rPr>
        <w:t>30%人力资源节约</w:t>
      </w:r>
      <w:r>
        <w:rPr>
          <w:rFonts w:ascii="Times New Roman" w:hAnsi="Times New Roman" w:eastAsia="Times New Roman"/>
          <w:b w:val="0"/>
          <w:i w:val="0"/>
          <w:sz w:val="21"/>
          <w:u w:val="none"/>
        </w:rPr>
        <w:t>, zero data-migration incidents, 95% user adoption within 3 months</w:t>
      </w:r>
    </w:p>
    <w:p>
      <w:pPr>
        <w:spacing w:before="240" w:after="80" w:line="259" w:lineRule="auto"/>
      </w:pPr>
      <w:r>
        <w:rPr>
          <w:rFonts w:ascii="Times New Roman" w:hAnsi="Times New Roman" w:eastAsia="Times New Roman"/>
          <w:b/>
          <w:i w:val="0"/>
          <w:sz w:val="28"/>
          <w:u w:val="none"/>
        </w:rPr>
        <w:t>WuXi AppTec | 2015/05 – 2016/08</w:t>
      </w:r>
    </w:p>
    <w:p>
      <w:pPr>
        <w:spacing w:before="120" w:after="60" w:line="259" w:lineRule="auto"/>
      </w:pPr>
      <w:r>
        <w:rPr>
          <w:rFonts w:ascii="Times New Roman" w:hAnsi="Times New Roman" w:eastAsia="Times New Roman"/>
          <w:b/>
          <w:i w:val="0"/>
          <w:sz w:val="21"/>
          <w:u w:val="none"/>
        </w:rPr>
        <w:t>Senior Project Manager, Commercial Operations | Shanghai</w:t>
      </w:r>
    </w:p>
    <w:p>
      <w:pPr>
        <w:spacing w:before="60" w:after="40" w:line="259" w:lineRule="auto"/>
      </w:pPr>
      <w:r>
        <w:rPr>
          <w:rFonts w:ascii="Times New Roman" w:hAnsi="Times New Roman" w:eastAsia="Times New Roman"/>
          <w:b w:val="0"/>
          <w:i w:val="0"/>
          <w:sz w:val="21"/>
          <w:u w:val="none"/>
        </w:rPr>
        <w:t>Cross-functional project management balancing laboratory data-sharing requirements with IP protection standards; established Lean Six Sigma problem-resolution framework.</w:t>
      </w:r>
    </w:p>
    <w:p>
      <w:pPr>
        <w:spacing w:before="240" w:after="80" w:line="259" w:lineRule="auto"/>
      </w:pPr>
      <w:r>
        <w:rPr>
          <w:rFonts w:ascii="Times New Roman" w:hAnsi="Times New Roman" w:eastAsia="Times New Roman"/>
          <w:b/>
          <w:i w:val="0"/>
          <w:sz w:val="28"/>
          <w:u w:val="none"/>
        </w:rPr>
        <w:t>Hertz RAC | 2011/12 – 2015/04</w:t>
      </w:r>
    </w:p>
    <w:p>
      <w:pPr>
        <w:spacing w:before="120" w:after="60" w:line="259" w:lineRule="auto"/>
      </w:pPr>
      <w:r>
        <w:rPr>
          <w:rFonts w:ascii="Times New Roman" w:hAnsi="Times New Roman" w:eastAsia="Times New Roman"/>
          <w:b/>
          <w:i w:val="0"/>
          <w:sz w:val="21"/>
          <w:u w:val="none"/>
        </w:rPr>
        <w:t>Customer Care Supervisor | Reports to: China President (SVP) | Shanghai</w:t>
      </w:r>
    </w:p>
    <w:p>
      <w:pPr>
        <w:spacing w:before="60" w:after="40" w:line="259" w:lineRule="auto"/>
      </w:pPr>
      <w:r>
        <w:rPr>
          <w:rFonts w:ascii="Times New Roman" w:hAnsi="Times New Roman" w:eastAsia="Times New Roman"/>
          <w:b w:val="0"/>
          <w:i w:val="0"/>
          <w:sz w:val="21"/>
          <w:u w:val="none"/>
        </w:rPr>
        <w:t>Developed first standardized after-sales handbook through global collaboration; established vendor scorecard and SLA analysis frameworks during M&amp;A integration.</w:t>
      </w:r>
    </w:p>
    <w:p>
      <w:pPr>
        <w:spacing w:before="160" w:after="160" w:line="259" w:lineRule="auto"/>
        <w:jc w:val="center"/>
      </w:pPr>
      <w:r>
        <w:rPr>
          <w:rFonts w:ascii="Times New Roman" w:hAnsi="Times New Roman" w:eastAsia="Times New Roman"/>
          <w:b w:val="0"/>
          <w:i w:val="0"/>
          <w:color w:val="CCCCCC"/>
          <w:sz w:val="16"/>
          <w:u w:val="none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40" w:after="120" w:line="259" w:lineRule="auto"/>
      </w:pPr>
      <w:r>
        <w:rPr>
          <w:rFonts w:ascii="Times New Roman" w:hAnsi="Times New Roman" w:eastAsia="Times New Roman"/>
          <w:b/>
          <w:i w:val="0"/>
          <w:sz w:val="32"/>
          <w:u w:val="none"/>
        </w:rPr>
        <w:t>Education</w:t>
      </w:r>
    </w:p>
    <w:p>
      <w:pPr>
        <w:spacing w:before="120" w:after="60" w:line="259" w:lineRule="auto"/>
      </w:pPr>
      <w:r>
        <w:rPr>
          <w:rFonts w:ascii="Times New Roman" w:hAnsi="Times New Roman" w:eastAsia="Times New Roman"/>
          <w:b/>
          <w:i w:val="0"/>
          <w:sz w:val="21"/>
          <w:u w:val="none"/>
        </w:rPr>
        <w:t>University of Wollongong</w:t>
      </w:r>
      <w:r>
        <w:rPr>
          <w:rFonts w:ascii="Times New Roman" w:hAnsi="Times New Roman" w:eastAsia="Times New Roman"/>
          <w:b w:val="0"/>
          <w:i w:val="0"/>
          <w:sz w:val="21"/>
          <w:u w:val="none"/>
        </w:rPr>
        <w:t xml:space="preserve"> | Master of International Business | 2010 – 2011</w:t>
        <w:br/>
      </w:r>
      <w:r>
        <w:rPr>
          <w:rFonts w:ascii="Times New Roman" w:hAnsi="Times New Roman" w:eastAsia="Times New Roman"/>
          <w:b/>
          <w:i w:val="0"/>
          <w:sz w:val="21"/>
          <w:u w:val="none"/>
        </w:rPr>
        <w:t>Central Queensland University</w:t>
      </w:r>
      <w:r>
        <w:rPr>
          <w:rFonts w:ascii="Times New Roman" w:hAnsi="Times New Roman" w:eastAsia="Times New Roman"/>
          <w:b w:val="0"/>
          <w:i w:val="0"/>
          <w:sz w:val="21"/>
          <w:u w:val="none"/>
        </w:rPr>
        <w:t xml:space="preserve"> | Bachelor of Accounting | 2008 – 2010</w:t>
      </w:r>
    </w:p>
    <w:p>
      <w:pPr>
        <w:spacing w:before="160" w:after="160" w:line="259" w:lineRule="auto"/>
        <w:jc w:val="center"/>
      </w:pPr>
      <w:r>
        <w:rPr>
          <w:rFonts w:ascii="Times New Roman" w:hAnsi="Times New Roman" w:eastAsia="Times New Roman"/>
          <w:b w:val="0"/>
          <w:i w:val="0"/>
          <w:color w:val="CCCCCC"/>
          <w:sz w:val="16"/>
          <w:u w:val="none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40" w:after="120" w:line="259" w:lineRule="auto"/>
      </w:pPr>
      <w:r>
        <w:rPr>
          <w:rFonts w:ascii="Times New Roman" w:hAnsi="Times New Roman" w:eastAsia="Times New Roman"/>
          <w:b/>
          <w:i w:val="0"/>
          <w:sz w:val="32"/>
          <w:u w:val="none"/>
        </w:rPr>
        <w:t>Certifications</w:t>
      </w:r>
    </w:p>
    <w:p>
      <w:pPr>
        <w:spacing w:before="120" w:after="60" w:line="259" w:lineRule="auto"/>
      </w:pPr>
      <w:r>
        <w:rPr>
          <w:rFonts w:ascii="Times New Roman" w:hAnsi="Times New Roman" w:eastAsia="Times New Roman"/>
          <w:b w:val="0"/>
          <w:i w:val="0"/>
          <w:sz w:val="21"/>
          <w:u w:val="none"/>
        </w:rPr>
        <w:t>PMP (2017) · ITIL Foundation (2021) · Lean Six Sigma Yellow Belt (2015) · AI Application Engineer – Junior (MIIT) · Large Model Application Development Engineer (IITC, in progress)</w:t>
      </w:r>
    </w:p>
    <w:p>
      <w:pPr>
        <w:spacing w:before="160" w:after="160" w:line="259" w:lineRule="auto"/>
        <w:jc w:val="center"/>
      </w:pPr>
      <w:r>
        <w:rPr>
          <w:rFonts w:ascii="Times New Roman" w:hAnsi="Times New Roman" w:eastAsia="Times New Roman"/>
          <w:b w:val="0"/>
          <w:i w:val="0"/>
          <w:color w:val="CCCCCC"/>
          <w:sz w:val="16"/>
          <w:u w:val="none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60" w:after="40" w:line="259" w:lineRule="auto"/>
      </w:pPr>
      <w:r>
        <w:rPr>
          <w:rFonts w:ascii="Times New Roman" w:hAnsi="Times New Roman" w:eastAsia="Times New Roman"/>
          <w:b w:val="0"/>
          <w:i/>
          <w:sz w:val="21"/>
          <w:u w:val="none"/>
        </w:rPr>
        <w:t>AI-First FinTech Resume v1.0 | 2026-05-18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