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44"/>
          <w:u w:val="none"/>
        </w:rPr>
        <w:t>Olina Liu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Shanghai | Cell: 159 2197 8601 | Email: olina11151@outlook.com | English (business proficient) | Mandarin (native)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Professional Summary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14-year track record of end-to-end digital program delivery across cross-border business-technology transformation and AI-enabled project governance. Independently led $50M+ project portfolios (15+ concurrent) with #1 APAC ROI for 3 consecutive years. Systematically integrated AI tools (Claude Code, etc.) across the project lifecycle, building a structured PM knowledge base that drove 20-25% delivery efficiency gains. Skilled in data-driven demand governance and business case development within MNC matrix environments. Expertise spans PIPL/GDPR dual-jurisdiction compliance, vendor management, and Agile-Waterfall hybrid delivery. PMP-certified, English working proficiency.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Professional Experience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BPCE Equipment Solutions (BPCE Banking Group, France) | IT Project Manager | Nov 2022 - Present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Sole full-time PM for China; independently owned end-to-end IT system delivery and dual-dimension budget governance (P&amp;L + cash-out). Served as the key bridge between China business and EU HQ IT architecture teams, aligning cross-border requirements through iterative deep-dive sessions. Built business cases that secured HQ development resources and priority scheduling for China's small-share business, making it the first global entity to achieve full system go-live (3 core systems); deployment model adopted as replicable global template.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Integrated AI tools (Claude Code, etc.) across the project lifecycle—requirements analysis, risk identification &amp; response, solution review, knowledge capture—building a structured PM knowledge base that lifted delivery efficiency by 20-25%. Built a low-code project data hub driving data-based demand prioritization (ROI + business utilization analytics); led Power BI operational dashboard requirements analysis aligned with HQ reporting templates.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t>Drove the China-side PIPL compliance workstream: delivered the Personal Information Protection Impact Assessment (PIPIA) and end-to-end data mapping, sustaining PIPL + EU GDPR dual-jurisdiction alignment across a 2-year rollout cycle. Oversaw quality control of key deliverables (test cases, implementation plans, user manuals) and drove post-project evaluation and methodology refinement. Zero compliance violations, zero critical production defects, 100% business utilization within 2 months post-deployment.</w:t>
      </w:r>
      <w:r>
        <w:rPr>
          <w:rFonts w:eastAsia="宋体" w:ascii="Times New Roman" w:hAnsi="Times New Roman"/>
          <w:b w:val="0"/>
          <w:i w:val="0"/>
          <w:u w:val="none"/>
        </w:rPr>
        <w:br/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NCR Corporation | Program Manager | Sep 2016 - Nov 2022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Managed a $50M+ IT delivery portfolio spanning 15+ concurrent projects across Greater China. Coordinated multi-vendor resources, consolidated cross-client common requirements to optimize resource utilization; Agile-Waterfall hybrid methodology. Presented portfolio-level delivery data at quarterly business reviews to support APAC leadership decisions. #1 APAC ROI for 3 consecutive years (2019-2021); 20+ production releases with zero major deployment failures.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WuXi AppTec | Senior Project Manager | May 2015 - Aug 2016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Cross-functional project management, balancing laboratory data-sharing needs with IP protection standards. Established Lean Six Sigma problem-solving framework.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Hertz RAC | Customer Care Supervisor | Dec 2011 - Apr 2015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Developed the first standardized customer-aftercare handbook through global collaboration; led team function restructuring and KPI redesign during a merger period.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Education &amp; Certifications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University of Wollongong | Master of International Business | 2011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  <w:t>Central Queensland University | Bachelor of Accounting | 2010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PMP (2018) | ITIL Foundation (2021) | Lean Six Sigma Yellow Belt | Large Model Application Development Engineer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