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02F5" w14:textId="77777777" w:rsidR="00FD1A6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4FA3617" w14:textId="77777777" w:rsidR="00FD1A63" w:rsidRDefault="00000000">
      <w:pPr>
        <w:pBdr>
          <w:bottom w:val="single" w:sz="6" w:space="1" w:color="auto"/>
        </w:pBdr>
      </w:pPr>
      <w:r>
        <w:t>Shanghai | Cell: 159 2197 8601 | Email: olina11151@outlook.com | English (business proficient) | Mandarin (native)</w:t>
      </w:r>
    </w:p>
    <w:p w14:paraId="2DF9D5F7" w14:textId="77777777" w:rsidR="00FD1A6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15F6AC45" w14:textId="77777777" w:rsidR="00C70478" w:rsidRDefault="00C70478">
      <w:pPr>
        <w:pBdr>
          <w:bottom w:val="single" w:sz="6" w:space="1" w:color="auto"/>
        </w:pBdr>
        <w:spacing w:before="240" w:after="120"/>
      </w:pPr>
      <w:r w:rsidRPr="00C70478">
        <w:t>IT business partner and solution leader with 14 years bridging China operations and global HQ across banking, manufacturing, and regulated R&amp;D environments. Serves as the single senior interface between business leadership and IT — translating commercial strategy into scalable solutions, building business cases that secure investment, and governing delivery against ROI, compliance, and outcome commitments. Drives AI-augmented innovation and cross-border digital transformation in large MNC settings.</w:t>
      </w:r>
    </w:p>
    <w:p w14:paraId="57FEA9A7" w14:textId="0B60A716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Professional Experience</w:t>
      </w:r>
    </w:p>
    <w:p w14:paraId="27B40705" w14:textId="33581528" w:rsidR="008D44B1" w:rsidRDefault="008D44B1" w:rsidP="008D44B1">
      <w:pPr>
        <w:spacing w:before="240" w:after="120"/>
      </w:pPr>
      <w:r>
        <w:rPr>
          <w:b/>
          <w:sz w:val="28"/>
        </w:rPr>
        <w:t xml:space="preserve">BPCE </w:t>
      </w:r>
      <w:r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>
        <w:rPr>
          <w:rFonts w:hint="eastAsia"/>
          <w:b/>
          <w:sz w:val="28"/>
          <w:lang w:eastAsia="zh-CN"/>
        </w:rPr>
        <w:t xml:space="preserve"> </w:t>
      </w:r>
      <w:r w:rsidRPr="00993954">
        <w:rPr>
          <w:rFonts w:hint="eastAsia"/>
          <w:b/>
          <w:lang w:eastAsia="zh-CN"/>
        </w:rPr>
        <w:t>I</w:t>
      </w:r>
      <w:r w:rsidRPr="00993954">
        <w:rPr>
          <w:rFonts w:hint="eastAsia"/>
          <w:b/>
        </w:rPr>
        <w:t>T PM</w:t>
      </w:r>
      <w:r w:rsidR="00C71C68" w:rsidRPr="00993954">
        <w:rPr>
          <w:rFonts w:hint="eastAsia"/>
          <w:b/>
        </w:rPr>
        <w:t xml:space="preserve"> </w:t>
      </w:r>
      <w:r w:rsidR="00C71C68" w:rsidRPr="00993954">
        <w:rPr>
          <w:b/>
        </w:rPr>
        <w:t>Reports to: COO</w:t>
      </w:r>
      <w:r w:rsidRPr="00993954">
        <w:rPr>
          <w:rFonts w:hint="eastAsia"/>
          <w:b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</w:t>
      </w:r>
      <w:r w:rsidR="00993954">
        <w:rPr>
          <w:rFonts w:hint="eastAsia"/>
          <w:b/>
          <w:sz w:val="28"/>
          <w:lang w:eastAsia="zh-CN"/>
        </w:rPr>
        <w:t xml:space="preserve">          </w:t>
      </w:r>
      <w:r>
        <w:rPr>
          <w:b/>
          <w:sz w:val="28"/>
        </w:rPr>
        <w:t>Nov 2022 – Present</w:t>
      </w:r>
    </w:p>
    <w:p w14:paraId="053219C6" w14:textId="77777777" w:rsidR="00C70478" w:rsidRDefault="00C70478" w:rsidP="00C70478">
      <w:r>
        <w:t>Primary IT interface for China and EU HQ — single point of accountability from demand shaping, solution design, and business case through delivery oversight and run-state handover.</w:t>
      </w:r>
    </w:p>
    <w:p w14:paraId="6E13741A" w14:textId="77777777" w:rsidR="00C70478" w:rsidRDefault="00C70478" w:rsidP="00C70478">
      <w:pPr>
        <w:pStyle w:val="ae"/>
        <w:numPr>
          <w:ilvl w:val="0"/>
          <w:numId w:val="13"/>
        </w:numPr>
      </w:pPr>
      <w:r>
        <w:t>Strategic business partnership. Trusted advisor to China COO and business leadership; translates regional commercial strategy into prioritized IT demand and solution requirements. Drives alignment with global IT on architecture, scope, and outcomes through structured negotiation and executive governance. Conducts monthly/quarterly IT performance reviews with senior stakeholders.</w:t>
      </w:r>
    </w:p>
    <w:p w14:paraId="7B5A0BF8" w14:textId="77777777" w:rsidR="00C70478" w:rsidRDefault="00C70478" w:rsidP="00C70478">
      <w:pPr>
        <w:pStyle w:val="ae"/>
        <w:numPr>
          <w:ilvl w:val="0"/>
          <w:numId w:val="13"/>
        </w:numPr>
      </w:pPr>
      <w:r>
        <w:t>Solution design &amp; end-to-end delivery. Full ownership of the China IT portfolio — solution analysis and design aligned with global architecture, delivery management, vendor coordination, and lifecycle governance. Delivered the first complete global system go-live, subsequently adopted as the worldwide replicable template.</w:t>
      </w:r>
    </w:p>
    <w:p w14:paraId="488A131E" w14:textId="77777777" w:rsidR="00C70478" w:rsidRDefault="00C70478" w:rsidP="00C70478">
      <w:pPr>
        <w:pStyle w:val="ae"/>
        <w:numPr>
          <w:ilvl w:val="0"/>
          <w:numId w:val="13"/>
        </w:numPr>
      </w:pPr>
      <w:r>
        <w:t xml:space="preserve">Investment governance &amp; ROI tracking. Owns dual-dimension IT budget (P&amp;L + cash-out) with quantified build-vs-benefit analysis driving HQ prioritization. Independently built the business case securing Phase 2 funding for China — the smallest global entity </w:t>
      </w:r>
      <w:r>
        <w:rPr>
          <w:rFonts w:hint="eastAsia"/>
        </w:rPr>
        <w:t>—</w:t>
      </w:r>
      <w:r>
        <w:t xml:space="preserve"> under competitive cost-allocation. Tracks ROI across cost, benefit, and risk dimensions.</w:t>
      </w:r>
    </w:p>
    <w:p w14:paraId="46883EDF" w14:textId="740C40A2" w:rsidR="008D44B1" w:rsidRDefault="00C70478" w:rsidP="00C70478">
      <w:pPr>
        <w:pStyle w:val="ae"/>
        <w:numPr>
          <w:ilvl w:val="0"/>
          <w:numId w:val="13"/>
        </w:numPr>
      </w:pPr>
      <w:r>
        <w:t>AI-augmented innovation &amp; compliance. Pioneered the systematic integration of AI tools into delivery workflows — built a structured knowledge base (decision frameworks, case library, business rules) improving delivery efficiency 20–25%. Led PIPL/GDPR dual-jurisdiction compliance for overseas-hosted platforms with zero regulatory incidents.</w:t>
      </w:r>
    </w:p>
    <w:p w14:paraId="7093F0A4" w14:textId="3C7DF0B6" w:rsidR="008D44B1" w:rsidRDefault="008D44B1" w:rsidP="008D44B1">
      <w:r w:rsidRPr="008D44B1">
        <w:rPr>
          <w:b/>
          <w:sz w:val="28"/>
        </w:rPr>
        <w:t xml:space="preserve">NCR Corporation | </w:t>
      </w:r>
      <w:r w:rsidRPr="008D44B1">
        <w:rPr>
          <w:b/>
        </w:rPr>
        <w:t>Program Manager, PMO</w:t>
      </w:r>
      <w:r>
        <w:rPr>
          <w:rFonts w:hint="eastAsia"/>
          <w:lang w:eastAsia="zh-CN"/>
        </w:rPr>
        <w:t xml:space="preserve">                                                                 </w:t>
      </w:r>
      <w:r w:rsidRPr="008D44B1">
        <w:rPr>
          <w:b/>
          <w:sz w:val="28"/>
        </w:rPr>
        <w:t>Sep 2016 – Nov 2022</w:t>
      </w:r>
    </w:p>
    <w:p w14:paraId="27B12EBA" w14:textId="77777777" w:rsidR="00C70478" w:rsidRDefault="00C70478" w:rsidP="00C70478">
      <w:pPr>
        <w:spacing w:before="240" w:after="120"/>
        <w:rPr>
          <w:lang w:eastAsia="zh-CN"/>
        </w:rPr>
      </w:pPr>
      <w:r>
        <w:t>Managed $50M+ IT delivery portfolio across 15+ concurrent projects in Greater China. Cross-portfolio lead covering two major industry KA clients.</w:t>
      </w:r>
    </w:p>
    <w:p w14:paraId="400B6A0C" w14:textId="77777777" w:rsidR="00C70478" w:rsidRDefault="00C70478" w:rsidP="00C70478">
      <w:pPr>
        <w:pStyle w:val="ae"/>
        <w:numPr>
          <w:ilvl w:val="0"/>
          <w:numId w:val="13"/>
        </w:numPr>
        <w:spacing w:before="240" w:after="120"/>
      </w:pPr>
      <w:r>
        <w:t>Portfolio governance &amp; ROI maximization. Consolidated shared requirements across accounts to eliminate redundancy. Achieved #1 APAC ROI three consecutive years (2019–2021). Led EPM system go-live delivering 30% resource efficiency. 20+ production releases with zero major failures; zero compliance incidents across 3-year audit period.</w:t>
      </w:r>
    </w:p>
    <w:p w14:paraId="5CCD7460" w14:textId="2586D0F7" w:rsidR="00C71C68" w:rsidRDefault="00C70478" w:rsidP="00C70478">
      <w:pPr>
        <w:pStyle w:val="ae"/>
        <w:numPr>
          <w:ilvl w:val="0"/>
          <w:numId w:val="13"/>
        </w:numPr>
        <w:spacing w:before="240" w:after="120"/>
      </w:pPr>
      <w:r>
        <w:t>Vendor &amp; stakeholder governance. Served as IT SME in RFP evaluations and QBRs across multiple accounts. Led cross-functional alignment across sales, operations, development, and external vendors. Transformation framework replicated to 3 additional accounts.</w:t>
      </w:r>
    </w:p>
    <w:p w14:paraId="69B2EDA5" w14:textId="77777777" w:rsidR="00C70478" w:rsidRPr="00C70478" w:rsidRDefault="00C70478" w:rsidP="00C70478">
      <w:pPr>
        <w:pStyle w:val="ae"/>
        <w:spacing w:before="240" w:after="120"/>
        <w:ind w:left="360"/>
        <w:rPr>
          <w:rFonts w:hint="eastAsia"/>
        </w:rPr>
      </w:pPr>
    </w:p>
    <w:p w14:paraId="35D789C8" w14:textId="1A44CF32" w:rsidR="008D44B1" w:rsidRDefault="008D44B1" w:rsidP="00C71C68">
      <w:pPr>
        <w:spacing w:before="240" w:after="120"/>
      </w:pPr>
      <w:proofErr w:type="spellStart"/>
      <w:r>
        <w:rPr>
          <w:b/>
          <w:sz w:val="28"/>
        </w:rPr>
        <w:lastRenderedPageBreak/>
        <w:t>WuXi</w:t>
      </w:r>
      <w:proofErr w:type="spellEnd"/>
      <w:r>
        <w:rPr>
          <w:b/>
          <w:sz w:val="28"/>
        </w:rPr>
        <w:t xml:space="preserve"> AppTec | </w:t>
      </w:r>
      <w:r>
        <w:rPr>
          <w:b/>
        </w:rPr>
        <w:t>Senior Project Manager, Commercial Operations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7AA6F472" w14:textId="77777777" w:rsidR="00C70478" w:rsidRDefault="00C70478" w:rsidP="008D44B1">
      <w:pPr>
        <w:spacing w:before="240" w:after="120"/>
      </w:pPr>
      <w:r w:rsidRPr="00C70478">
        <w:t>Cross-functional IT and laboratory projects in a regulated pharmaceutical R&amp;D environment. Balanced data-sharing requirements with IP protection standards across multi-stakeholder teams.</w:t>
      </w:r>
    </w:p>
    <w:p w14:paraId="27CFF381" w14:textId="3B3851CD" w:rsidR="008D44B1" w:rsidRDefault="008D44B1" w:rsidP="008D44B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>
        <w:rPr>
          <w:b/>
        </w:rPr>
        <w:t>Customer Care Supervisor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74561AE1" w14:textId="77777777" w:rsidR="00C70478" w:rsidRDefault="00C70478">
      <w:pPr>
        <w:pBdr>
          <w:bottom w:val="single" w:sz="6" w:space="1" w:color="auto"/>
        </w:pBdr>
        <w:spacing w:before="240" w:after="120"/>
        <w:rPr>
          <w:lang w:eastAsia="zh-CN"/>
        </w:rPr>
      </w:pPr>
      <w:r w:rsidRPr="00C70478">
        <w:rPr>
          <w:lang w:eastAsia="zh-CN"/>
        </w:rPr>
        <w:t>Developed the first standardized after-sales issue handbook through global cross-market collaboration. Established vendor scorecard and SLA analysis frameworks.</w:t>
      </w:r>
    </w:p>
    <w:p w14:paraId="5BD307DA" w14:textId="6229B01C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Education &amp; Certifications</w:t>
      </w:r>
    </w:p>
    <w:p w14:paraId="7E34581E" w14:textId="77777777" w:rsidR="008D44B1" w:rsidRDefault="008D44B1" w:rsidP="008D44B1">
      <w:r>
        <w:t>University of Wollongong, Australia — Master of International Business | 2010 – 2011</w:t>
      </w:r>
      <w:r>
        <w:rPr>
          <w:sz w:val="2"/>
        </w:rPr>
        <w:br/>
      </w:r>
      <w:r>
        <w:t>Central Queensland University, Australia — Bachelor of Accounting | 2008 – 2010</w:t>
      </w:r>
      <w:r>
        <w:rPr>
          <w:sz w:val="2"/>
        </w:rPr>
        <w:br/>
      </w:r>
      <w:r>
        <w:t>Hunan Jishou University — Bachelor of Economics | 2004 – 2008</w:t>
      </w:r>
    </w:p>
    <w:p w14:paraId="5E0AEE95" w14:textId="2C755329" w:rsidR="00FD1A63" w:rsidRDefault="00000000">
      <w:pPr>
        <w:rPr>
          <w:lang w:eastAsia="zh-CN"/>
        </w:rPr>
      </w:pPr>
      <w:r>
        <w:t>PMP (201</w:t>
      </w:r>
      <w:r w:rsidR="008D44B1">
        <w:rPr>
          <w:rFonts w:hint="eastAsia"/>
          <w:lang w:eastAsia="zh-CN"/>
        </w:rPr>
        <w:t>8</w:t>
      </w:r>
      <w:r>
        <w:t xml:space="preserve">) | ITIL Foundation (2021) | Lean Six Sigma Yellow Belt | </w:t>
      </w:r>
      <w:r w:rsidR="008D44B1">
        <w:rPr>
          <w:rFonts w:hint="eastAsia"/>
          <w:lang w:eastAsia="zh-CN"/>
        </w:rPr>
        <w:t xml:space="preserve">LLM </w:t>
      </w:r>
      <w:r>
        <w:t>Application Development Engineer</w:t>
      </w:r>
      <w:r w:rsidR="008057B1">
        <w:rPr>
          <w:rFonts w:hint="eastAsia"/>
          <w:lang w:eastAsia="zh-CN"/>
        </w:rPr>
        <w:t xml:space="preserve"> (2026)</w:t>
      </w:r>
    </w:p>
    <w:sectPr w:rsidR="00FD1A63" w:rsidSect="008D44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334AC"/>
    <w:multiLevelType w:val="hybridMultilevel"/>
    <w:tmpl w:val="D45EB8E8"/>
    <w:lvl w:ilvl="0" w:tplc="1EEA55E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A5C58AF"/>
    <w:multiLevelType w:val="hybridMultilevel"/>
    <w:tmpl w:val="D1FC47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1E4032A"/>
    <w:multiLevelType w:val="hybridMultilevel"/>
    <w:tmpl w:val="ACCEDF1A"/>
    <w:lvl w:ilvl="0" w:tplc="6B28521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0B3051"/>
    <w:multiLevelType w:val="hybridMultilevel"/>
    <w:tmpl w:val="AC1656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4709438">
    <w:abstractNumId w:val="8"/>
  </w:num>
  <w:num w:numId="2" w16cid:durableId="643705388">
    <w:abstractNumId w:val="6"/>
  </w:num>
  <w:num w:numId="3" w16cid:durableId="221522224">
    <w:abstractNumId w:val="5"/>
  </w:num>
  <w:num w:numId="4" w16cid:durableId="1313170291">
    <w:abstractNumId w:val="4"/>
  </w:num>
  <w:num w:numId="5" w16cid:durableId="3749811">
    <w:abstractNumId w:val="7"/>
  </w:num>
  <w:num w:numId="6" w16cid:durableId="1275863181">
    <w:abstractNumId w:val="3"/>
  </w:num>
  <w:num w:numId="7" w16cid:durableId="651759633">
    <w:abstractNumId w:val="2"/>
  </w:num>
  <w:num w:numId="8" w16cid:durableId="757022214">
    <w:abstractNumId w:val="1"/>
  </w:num>
  <w:num w:numId="9" w16cid:durableId="1182428292">
    <w:abstractNumId w:val="0"/>
  </w:num>
  <w:num w:numId="10" w16cid:durableId="146286161">
    <w:abstractNumId w:val="10"/>
  </w:num>
  <w:num w:numId="11" w16cid:durableId="1025713288">
    <w:abstractNumId w:val="11"/>
  </w:num>
  <w:num w:numId="12" w16cid:durableId="476847195">
    <w:abstractNumId w:val="12"/>
  </w:num>
  <w:num w:numId="13" w16cid:durableId="1599825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A4"/>
    <w:rsid w:val="00034616"/>
    <w:rsid w:val="0006063C"/>
    <w:rsid w:val="0015074B"/>
    <w:rsid w:val="0029639D"/>
    <w:rsid w:val="00326F90"/>
    <w:rsid w:val="003E22B1"/>
    <w:rsid w:val="006B2F3A"/>
    <w:rsid w:val="00705B70"/>
    <w:rsid w:val="008057B1"/>
    <w:rsid w:val="008B3444"/>
    <w:rsid w:val="008D44B1"/>
    <w:rsid w:val="00993954"/>
    <w:rsid w:val="00AA1D8D"/>
    <w:rsid w:val="00B47730"/>
    <w:rsid w:val="00C70478"/>
    <w:rsid w:val="00C71C68"/>
    <w:rsid w:val="00CB0664"/>
    <w:rsid w:val="00FC693F"/>
    <w:rsid w:val="00F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656BE"/>
  <w14:defaultImageDpi w14:val="300"/>
  <w15:docId w15:val="{60D00E31-583B-4357-BA67-91D9183B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540</Words>
  <Characters>3604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7</cp:revision>
  <cp:lastPrinted>2026-05-07T12:38:00Z</cp:lastPrinted>
  <dcterms:created xsi:type="dcterms:W3CDTF">2013-12-23T23:15:00Z</dcterms:created>
  <dcterms:modified xsi:type="dcterms:W3CDTF">2026-05-07T12:53:00Z</dcterms:modified>
  <cp:category/>
</cp:coreProperties>
</file>