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76" w:lineRule="auto"/>
        <w:jc w:val="center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44"/>
          <w:u w:val="none"/>
        </w:rPr>
        <w:t>刘小妍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上海 | 15921978601 | olina11151@outlook.com | 英语（工作语言）· 普通话（母语）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32"/>
          <w:u w:val="none"/>
        </w:rPr>
        <w:t>专业背景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跨境数字化转型与IT业务伙伴（BRM）实战者——14年MNC中国区经验，在跨国矩阵中担任业务高管（COO/SVP）与全球IT组织间的信任接口。核心能力链：业务战略→IT需求翻译、商业论证→HQ资源争取、投资组合治理、用户采纳与变革推进。6年受监管环境下零合规违规记录。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/>
          <w:i w:val="0"/>
          <w:u w:val="none"/>
        </w:rPr>
        <w:t>业务-IT对齐与需求塑造</w:t>
      </w:r>
      <w:r>
        <w:rPr>
          <w:rFonts w:eastAsia="宋体" w:ascii="Times New Roman" w:hAnsi="Times New Roman"/>
          <w:b w:val="0"/>
          <w:i w:val="0"/>
          <w:u w:val="none"/>
        </w:rPr>
        <w:t xml:space="preserve"> — BPCE中国区唯一IT PM，直报COO，业务与欧洲总部IT各职能（架构、开发、安全、运维）间的单一接口。将业务战略翻译为优先级IT需求，端到端管理需求捕获至运维交接全生命周期，担任中国区所有IT事务唯一升级处置人。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/>
          <w:i w:val="0"/>
          <w:u w:val="none"/>
        </w:rPr>
        <w:t>投资组合、商业论证与供应商治理</w:t>
      </w:r>
      <w:r>
        <w:rPr>
          <w:rFonts w:eastAsia="宋体" w:ascii="Times New Roman" w:hAnsi="Times New Roman"/>
          <w:b w:val="0"/>
          <w:i w:val="0"/>
          <w:u w:val="none"/>
        </w:rPr>
        <w:t xml:space="preserve"> — NCR时期管理$50M+ IT交付组合（大中华区15+并行项目），连续3年ROI排名亚太第一。独立承担IT预算P&amp;L与现金流出双维度治理，以商业论证驱动HQ资金审批，通过RFP、QBR与SLA框架实施供应商/合同绩效治理。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/>
          <w:i w:val="0"/>
          <w:u w:val="none"/>
        </w:rPr>
        <w:t>全球-本地交付与变革领导力</w:t>
      </w:r>
      <w:r>
        <w:rPr>
          <w:rFonts w:eastAsia="宋体" w:ascii="Times New Roman" w:hAnsi="Times New Roman"/>
          <w:b w:val="0"/>
          <w:i w:val="0"/>
          <w:u w:val="none"/>
        </w:rPr>
        <w:t xml:space="preserve"> — 主导BPCE全球首个完整实体上线（3核心系统），部署被采纳为全球可复制模板。2个月内100%业务采纳，零关键缺陷，零合规违规。跨区域利益相关方管理覆盖中国大陆、欧盟总部、香港、台湾。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u w:val="none"/>
        </w:rPr>
        <w:t>专业认证</w:t>
      </w:r>
      <w:r>
        <w:rPr>
          <w:rFonts w:eastAsia="宋体" w:ascii="Times New Roman" w:hAnsi="Times New Roman"/>
          <w:b w:val="0"/>
          <w:i w:val="0"/>
          <w:u w:val="none"/>
        </w:rPr>
        <w:t>：PMP项目管理认证 (2017) · ITIL基础认证 (2021) · 精益六西格玛黄带 (2015) · AI应用工程师-初级（工信部）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32"/>
          <w:u w:val="none"/>
        </w:rPr>
        <w:t>工作经历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BPCE Equipment Solutions（法国BPCE银行集团）| 2022/11 - 至今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u w:val="none"/>
        </w:rPr>
        <w:t>IT项目经理 | OPS/IT | 汇报：COO | 中国区唯一全职PM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t>中国区唯一IT PM，业务（COO）与欧洲总部IT各职能（架构、开发、安全、运维）间的单一接口。将业务战略翻译为优先级IT需求，端到端管理全生命周期，担任中国区所有IT事务唯一升级处置人，独立承担IT预算P&amp;L与现金流出双维度治理。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t>在竞争性成本分摊模式下独立构建商业论证，将中国需求定位为总部KPI加速器；以全球极小份额身份争取到优先工程排期与第二阶段资金承诺。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t>主导BPCE全球首个完整实体上线——3核心系统（报价工具、业务发起、数据库基础设施）全周期交付，部署2月内100%业务采纳，零关键缺陷，零合规违规。中国部署被采纳为全球可复制模板，推动~70%运营成本削减路线图纳入HQ战略规划。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t>主导中国侧PIPL合规工作流：协同本地律师与HQ数据保护团队交付个人信息保护影响评估（PIPIA）与端到端数据映射，2年上线周期内随PIPL实施细则演进持续维护PIPL + EU GDPR双法域对齐。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NCR Corporation（安迅中国）| 2016/09 - 2022/11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u w:val="none"/>
        </w:rPr>
        <w:t>项目集经理 | PMO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t>管理$50M+ IT交付组合（大中华区15+并行项目），以跨客户需求整合减少开发冗余，连续3年ROI排名亚太第一（2019-2021）。20+次生产发布零重大部署失败，3年审计期零财务数据合规事故。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t>在RFP与QBR中担任跨组合SME，管理供应商记分卡与SLA分析框架，主导销售、运营、开发跨职能交付协调。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上海药明康德新药开发有限公司 | 2015/05 - 2016/08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u w:val="none"/>
        </w:rPr>
        <w:t>高级项目经理 | Commercial Operations</w:t>
      </w:r>
      <w:r>
        <w:rPr>
          <w:rFonts w:eastAsia="宋体" w:ascii="Times New Roman" w:hAnsi="Times New Roman"/>
          <w:b w:val="0"/>
          <w:i w:val="0"/>
          <w:u w:val="none"/>
        </w:rPr>
        <w:t xml:space="preserve"> — 跨职能项目管理，在实验室数据共享与知识产权保护间建立平衡机制，以精益六西格玛框架驱动结构化问题解决。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赫兹国际汽车租赁有限公司 | 2011/12 - 2015/04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u w:val="none"/>
        </w:rPr>
        <w:t>客户关怀主管 | 汇报：中国区总裁 (SVP)</w:t>
      </w:r>
      <w:r>
        <w:rPr>
          <w:rFonts w:eastAsia="宋体" w:ascii="Times New Roman" w:hAnsi="Times New Roman"/>
          <w:b w:val="0"/>
          <w:i w:val="0"/>
          <w:u w:val="none"/>
        </w:rPr>
        <w:t xml:space="preserve"> — 通过全球协作开发公司首个标准化售后问题手册，建立供应商记分卡与SLA分析框架，以跨职能影响力驱动服务标准化落地。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32"/>
          <w:u w:val="none"/>
        </w:rPr>
        <w:t>教育背景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伍伦贡大学 (University of Wollongong) | 国际经济与贸易硕士 | 2010 – 2011</w:t>
      </w:r>
      <w:r>
        <w:rPr>
          <w:sz w:val="2"/>
        </w:rPr>
        <w:br/>
      </w:r>
      <w:r>
        <w:rPr>
          <w:rFonts w:eastAsia="宋体" w:ascii="Times New Roman" w:hAnsi="Times New Roman"/>
          <w:b w:val="0"/>
          <w:i w:val="0"/>
          <w:u w:val="none"/>
        </w:rPr>
        <w:br/>
        <w:t>中央昆士兰大学 (Central Queensland University) | 会计学学士 | 2008 – 2010</w:t>
      </w:r>
      <w:r>
        <w:rPr>
          <w:sz w:val="2"/>
        </w:rPr>
        <w:br/>
      </w:r>
      <w:r>
        <w:rPr>
          <w:rFonts w:eastAsia="宋体" w:ascii="Times New Roman" w:hAnsi="Times New Roman"/>
          <w:b w:val="0"/>
          <w:i w:val="0"/>
          <w:u w:val="none"/>
        </w:rPr>
        <w:br/>
        <w:t>吉首大学 | 经济学学士 | 2004 – 2008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