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sz w:val="44"/>
          <w:u w:val="none"/>
        </w:rPr>
        <w:t>Olina Liu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Shanghai, China | 15921978601 | olina11151@outlook.com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Summary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IT business partner with 14+ years bridging business strategy and technology delivery in global, matrixed organizations. Trusted advisor to business leadership — from sole accountability for China IT at a European banking group to managing a $50M+ services portfolio across Greater China. Known for securing headquarters investment in competitive cost-allocation models through business-case rigor and cross-entity coalition building. Change and communication leader who drives adoption and makes IT value visible to the business.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Professional Experience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BPCE Equipment Solutions (Groupe BPCE) | Shanghai | 2022 – Present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IT Project Manager / Local Deployment Owner — China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Sole IT business partner for China operations, owning the full demand-to-value cycle — shaped local IT demand, built business cases within a competitive cost-allocation framework, and governed end-to-end delivery of 3 core systems. Served as primary bridge between China business leadership and European HQ architecture, security, and data protection teams.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Secured global development priority for a small-share market by positioning China's requirements as HQ KPI accelerators and surfacing cross-entity demand synergies. China became the first global entity to achieve full system go-live; the deployment model was adopted as the global template, unlocking Phase-2 HQ investment.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Drove China-side PIPL compliance — delivered PIPIA and end-to-end data mapping in dual-jurisdiction alignment with EU GDPR, sustaining zero-incident regulatory updates across a 2-year rollout. Achieved 100% business utilization within 2 months with zero critical production defects; advanced a 70% operational cost-reduction roadmap.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NCR Corporation | Shanghai | 2016 – 2022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Program Manager, Greater China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Managed a $50M+ IT delivery portfolio spanning 15+ concurrent projects across Greater China. Ranked #1 APAC ROI three consecutive years (2019–2021) through cross-client demand consolidation, resource optimization, and agile-hybrid delivery.</w:t>
      </w:r>
    </w:p>
    <w:p>
      <w:pPr>
        <w:spacing w:before="60" w:after="4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Led 20+ production releases with zero major deployment failures and zero financial-compliance incidents across a 3-year audit window. Built cross-functional communication channels bridging sales, operations, and engineering teams.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WuXi AppTec | Shanghai | 2015 – 2016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Senior Project Manager, Commercial Operations —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Cross-functional project management; balanced laboratory data-sharing requirements with IP protection standards.</w:t>
      </w:r>
    </w:p>
    <w:p>
      <w:pPr>
        <w:spacing w:before="240" w:after="80" w:line="259" w:lineRule="auto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Hertz RAC | Shanghai | 2011 – 2015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/>
          <w:sz w:val="21"/>
          <w:u w:val="none"/>
        </w:rPr>
        <w:t>Customer Care Supervisor —</w:t>
      </w:r>
      <w:r>
        <w:rPr>
          <w:rFonts w:ascii="Times New Roman" w:hAnsi="Times New Roman" w:eastAsia="Times New Roman"/>
          <w:b w:val="0"/>
          <w:i w:val="0"/>
          <w:sz w:val="21"/>
          <w:u w:val="none"/>
        </w:rPr>
        <w:t xml:space="preserve"> Developed first standardized after-sales service framework through global cross-functional collaboration; led team restructuring during M&amp;A integration.</w:t>
      </w:r>
    </w:p>
    <w:p>
      <w:pPr>
        <w:spacing w:before="240" w:after="120" w:line="259" w:lineRule="auto"/>
      </w:pPr>
      <w:r>
        <w:rPr>
          <w:rFonts w:ascii="Times New Roman" w:hAnsi="Times New Roman" w:eastAsia="Times New Roman"/>
          <w:b/>
          <w:i w:val="0"/>
          <w:sz w:val="32"/>
          <w:u w:val="none"/>
        </w:rPr>
        <w:t>Education &amp; Certifications</w:t>
      </w:r>
    </w:p>
    <w:p>
      <w:pPr>
        <w:spacing w:before="120" w:after="60" w:line="259" w:lineRule="auto"/>
      </w:pPr>
      <w:r>
        <w:rPr>
          <w:rFonts w:ascii="Times New Roman" w:hAnsi="Times New Roman" w:eastAsia="Times New Roman"/>
          <w:b w:val="0"/>
          <w:i w:val="0"/>
          <w:sz w:val="21"/>
          <w:u w:val="none"/>
        </w:rPr>
        <w:t>Master of International Business, University of Wollongong | Bachelor of Accounting, Central Queensland University</w:t>
        <w:br/>
        <w:t>PMP (2018) | ITIL Foundation (2021) | Lean Six Sigma Yellow Belt | LLM Application Development Engineer (IITC)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