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960A" w14:textId="77777777" w:rsidR="00D916E9" w:rsidRDefault="00000000">
      <w:pPr>
        <w:pStyle w:val="1"/>
      </w:pPr>
      <w:bookmarkStart w:id="0" w:name="olina-liu-刘小妍"/>
      <w:r>
        <w:t xml:space="preserve">Olina Liu </w:t>
      </w:r>
      <w:r>
        <w:rPr>
          <w:rFonts w:hint="eastAsia"/>
        </w:rPr>
        <w:t>(</w:t>
      </w:r>
      <w:r>
        <w:rPr>
          <w:rFonts w:hint="eastAsia"/>
        </w:rPr>
        <w:t>刘小妍</w:t>
      </w:r>
      <w:r>
        <w:rPr>
          <w:rFonts w:hint="eastAsia"/>
        </w:rPr>
        <w:t>)</w:t>
      </w:r>
    </w:p>
    <w:p w14:paraId="014B3813" w14:textId="2CC6443C" w:rsidR="00D916E9" w:rsidRDefault="00000000" w:rsidP="00D763FB">
      <w:pPr>
        <w:pStyle w:val="FirstParagraph"/>
      </w:pPr>
      <w:r>
        <w:t>Shanghai, China | +86 159 2197 8601 | olina11151@outlook.com English (working) | Mandarin (native)</w:t>
      </w:r>
    </w:p>
    <w:p w14:paraId="3DB2DDDC" w14:textId="77777777" w:rsidR="00D916E9" w:rsidRDefault="00000000">
      <w:pPr>
        <w:pStyle w:val="2"/>
      </w:pPr>
      <w:bookmarkStart w:id="1" w:name="professional-summary"/>
      <w:r>
        <w:t>Professional Summary</w:t>
      </w:r>
    </w:p>
    <w:p w14:paraId="11F61A2A" w14:textId="77777777" w:rsidR="00D916E9" w:rsidRDefault="00000000">
      <w:pPr>
        <w:pStyle w:val="FirstParagraph"/>
      </w:pPr>
      <w:r>
        <w:t>Senior IT Business Relationship / Program Manager — 14 years in MNC China, operating as the trusted interface between senior business leaders (COO / SVP) and global IT delivery. Shapes demand, builds business cases, secures HQ funding, and governs medium-to-large portfolios end-to-end across APAC.</w:t>
      </w:r>
    </w:p>
    <w:p w14:paraId="29568903" w14:textId="77777777" w:rsidR="00D916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Business–IT alignment at executive level</w:t>
      </w:r>
      <w:r>
        <w:t>: Sole China IT PM at BPCE reporting to COO; single face of IT to the China business and to EU HQ architecture / development teams. 6-year zero-violation record under China banking regulators.</w:t>
      </w:r>
    </w:p>
    <w:p w14:paraId="77D30410" w14:textId="77777777" w:rsidR="00D916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Portfolio &amp; commercial acumen</w:t>
      </w:r>
      <w:r>
        <w:t>: $50M+ IT</w:t>
      </w:r>
      <w:r w:rsidRPr="00D763FB">
        <w:t xml:space="preserve"> delivery portfolio / 15+ concurrent initiatives at NCR — #1 ROI among APAC program managers for 3 consecutive years (2019–2021). Dual-dimension IT budget governance (P&amp;L + cash-out), business-case-led funding approv</w:t>
      </w:r>
      <w:r>
        <w:t>als, vendor/contract oversight via RFP and QBR.</w:t>
      </w:r>
    </w:p>
    <w:p w14:paraId="754FE10E" w14:textId="77777777" w:rsidR="00D916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Cross-region delivery &amp; change leadership</w:t>
      </w:r>
      <w:r>
        <w:t>: Drives initiatives across Mainland China, HK, Taiwan, and EU HQ; partners with global development COEs, enterprise architecture, security, and operations; manages escalations, priority trade-offs, and process/organizational change.</w:t>
      </w:r>
    </w:p>
    <w:p w14:paraId="20556FAF" w14:textId="147578EF" w:rsidR="00D916E9" w:rsidRDefault="00000000" w:rsidP="00D763FB">
      <w:pPr>
        <w:pStyle w:val="FirstParagraph"/>
      </w:pPr>
      <w:r>
        <w:rPr>
          <w:b/>
          <w:bCs/>
        </w:rPr>
        <w:t>Certifications</w:t>
      </w:r>
      <w:r>
        <w:t>: PMP | ITIL Foundation | Lean Six Sigma Yellow Belt | LLM Applications Development Engineer (IITC, in progress) | AI Application Engineer (MIIT)</w:t>
      </w:r>
    </w:p>
    <w:p w14:paraId="08AA5A81" w14:textId="77777777" w:rsidR="00D916E9" w:rsidRDefault="00000000">
      <w:pPr>
        <w:pStyle w:val="2"/>
      </w:pPr>
      <w:bookmarkStart w:id="2" w:name="work-experience"/>
      <w:bookmarkEnd w:id="1"/>
      <w:r>
        <w:t>Work Experience</w:t>
      </w:r>
    </w:p>
    <w:p w14:paraId="0A5EB6BF" w14:textId="77777777" w:rsidR="00D916E9" w:rsidRDefault="00000000">
      <w:pPr>
        <w:pStyle w:val="3"/>
      </w:pPr>
      <w:bookmarkStart w:id="3" w:name="X1c3541d797a0ca91ec4a14fcae6b67c996ac803"/>
      <w:r>
        <w:t>BPCE Equipment Solutions (BPCE Group, France) | Nov 2022 – Present</w:t>
      </w:r>
    </w:p>
    <w:p w14:paraId="6E95737C" w14:textId="77777777" w:rsidR="00D916E9" w:rsidRDefault="00000000">
      <w:pPr>
        <w:pStyle w:val="FirstParagraph"/>
      </w:pPr>
      <w:r>
        <w:rPr>
          <w:b/>
          <w:bCs/>
        </w:rPr>
        <w:t>IT Project Manager, OPS/IT</w:t>
      </w:r>
      <w:r>
        <w:t xml:space="preserve"> — reports to COO | Sole full-time IT PM for China</w:t>
      </w:r>
    </w:p>
    <w:p w14:paraId="767C3B6D" w14:textId="77777777" w:rsidR="00D916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Primary IT interface between China business and EU HQ</w:t>
      </w:r>
      <w:r>
        <w:t xml:space="preserve"> — Translate China business strategy into prioritized IT demand; own end-to-end lifecycle from requirements to run-state handover; single escalation point for China stakeholders; own IT P&amp;L and cash-out tracking.</w:t>
      </w:r>
    </w:p>
    <w:p w14:paraId="1700CDA5" w14:textId="77777777" w:rsidR="00D916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Business case &amp; HQ resource advocacy</w:t>
      </w:r>
      <w:r>
        <w:t xml:space="preserve"> — Built commercial business cases positioning China needs as HQ-KPI accelerators; secured priority engineering capacity </w:t>
      </w:r>
      <w:r w:rsidRPr="00D763FB">
        <w:t>and Phase 2 funding commitment under a competitive cost-allocation model despite China’s small share of global r</w:t>
      </w:r>
      <w:r>
        <w:t>evenue.</w:t>
      </w:r>
    </w:p>
    <w:p w14:paraId="14DDEEF6" w14:textId="77777777" w:rsidR="00D916E9" w:rsidRPr="00D763F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ONE Platform localization — </w:t>
      </w:r>
      <w:r w:rsidRPr="00D763FB">
        <w:t>BPCE’s first full global-entity go-live — Delivered 3 core systems (Quotation Tool, Origination, Database Infrastructure) with 100% business adoption in 2 months, zero critical defects, zero compliance violations. Adopted as the replicable global template; contributed to a ~70% operational cost-reduction roadmap.</w:t>
      </w:r>
    </w:p>
    <w:p w14:paraId="212519CD" w14:textId="77777777" w:rsidR="00D916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PIPL cross-border compliance</w:t>
      </w:r>
      <w:r>
        <w:t xml:space="preserve"> — Delivered </w:t>
      </w:r>
      <w:r w:rsidRPr="00D763FB">
        <w:t>China-side PIPIA and end-to-end data mapping for overseas-hosted banking platforms; sustained 2-year PIPL + EU GDPR dual-</w:t>
      </w:r>
      <w:r>
        <w:t>jurisdiction alignment in partnership with local counsel and HQ data-protection teams.</w:t>
      </w:r>
    </w:p>
    <w:p w14:paraId="275B9D6C" w14:textId="77777777" w:rsidR="00D916E9" w:rsidRDefault="00000000">
      <w:pPr>
        <w:pStyle w:val="3"/>
      </w:pPr>
      <w:bookmarkStart w:id="4" w:name="ncr-corporation-sep-2016-nov-2022"/>
      <w:bookmarkEnd w:id="3"/>
      <w:r>
        <w:t>NCR Corporation | Sep 2016 – Nov 2022</w:t>
      </w:r>
    </w:p>
    <w:p w14:paraId="00B30ACF" w14:textId="77777777" w:rsidR="00D916E9" w:rsidRDefault="00000000">
      <w:pPr>
        <w:pStyle w:val="FirstParagraph"/>
      </w:pPr>
      <w:r>
        <w:rPr>
          <w:b/>
          <w:bCs/>
        </w:rPr>
        <w:t>Program Manager, PMO</w:t>
      </w:r>
    </w:p>
    <w:p w14:paraId="6FB2611E" w14:textId="77777777" w:rsidR="00D916E9" w:rsidRPr="00D763FB" w:rsidRDefault="00000000">
      <w:pPr>
        <w:pStyle w:val="Compact"/>
        <w:numPr>
          <w:ilvl w:val="0"/>
          <w:numId w:val="4"/>
        </w:numPr>
      </w:pPr>
      <w:r>
        <w:lastRenderedPageBreak/>
        <w:t>Manag</w:t>
      </w:r>
      <w:r w:rsidRPr="00D763FB">
        <w:t>ed $50M+ IT delivery portfolio / 15+ concurrent initiatives across Mainland China, HK, and Taiwan via hybrid agile–waterfall. #1 ROI among APAC program managers for 3 consecutive years (2019–2021) through cross-portfolio consolidation; zero major deployment failures across 20+ releases and zero financial-data compliance incidents over a 3-year audit period.</w:t>
      </w:r>
    </w:p>
    <w:p w14:paraId="2944A566" w14:textId="77777777" w:rsidR="00D916E9" w:rsidRDefault="00000000">
      <w:pPr>
        <w:pStyle w:val="Compact"/>
        <w:numPr>
          <w:ilvl w:val="0"/>
          <w:numId w:val="4"/>
        </w:numPr>
      </w:pPr>
      <w:r w:rsidRPr="00D763FB">
        <w:t>Cross-portfolio SME in RFP and QBR forums; owned ve</w:t>
      </w:r>
      <w:r>
        <w:t>ndor scorecards, SLA analytics, and cross-functional alignment across sales, operations, and development.</w:t>
      </w:r>
    </w:p>
    <w:p w14:paraId="498A15D7" w14:textId="77777777" w:rsidR="00D916E9" w:rsidRDefault="00000000">
      <w:pPr>
        <w:pStyle w:val="3"/>
      </w:pPr>
      <w:bookmarkStart w:id="5" w:name="wuxi-apptec-may-2015-aug-2016"/>
      <w:bookmarkEnd w:id="4"/>
      <w:r>
        <w:t>WuXi AppTec | May 2015 – Aug 2016</w:t>
      </w:r>
    </w:p>
    <w:p w14:paraId="5174C680" w14:textId="77777777" w:rsidR="00D916E9" w:rsidRDefault="00000000">
      <w:pPr>
        <w:pStyle w:val="FirstParagraph"/>
      </w:pPr>
      <w:r>
        <w:rPr>
          <w:b/>
          <w:bCs/>
        </w:rPr>
        <w:t>Senior Project Manager, Commercial Operations</w:t>
      </w:r>
      <w:r>
        <w:t xml:space="preserve"> — Cross-functional lab-services delivery; balanced data-sharing needs against IP protection; established Lean Six Sigma problem-resolution framework.</w:t>
      </w:r>
    </w:p>
    <w:p w14:paraId="07EFFDD6" w14:textId="77777777" w:rsidR="00D916E9" w:rsidRDefault="00000000">
      <w:pPr>
        <w:pStyle w:val="3"/>
      </w:pPr>
      <w:bookmarkStart w:id="6" w:name="hertz-rac-dec-2011-apr-2015"/>
      <w:bookmarkEnd w:id="5"/>
      <w:r>
        <w:t>Hertz RAC | Dec 2011 – Apr 2015</w:t>
      </w:r>
    </w:p>
    <w:p w14:paraId="4B858F40" w14:textId="119AD214" w:rsidR="00D916E9" w:rsidRDefault="00000000" w:rsidP="003E0293">
      <w:pPr>
        <w:pStyle w:val="FirstParagraph"/>
      </w:pPr>
      <w:r>
        <w:rPr>
          <w:b/>
          <w:bCs/>
        </w:rPr>
        <w:t>Customer Care Supervisor</w:t>
      </w:r>
      <w:r>
        <w:t xml:space="preserve"> — reports to China SVP, team of 7. Led team restructuring during M&amp;A integration; co-developed the company’s first standardized after-service handbook; built vendor scorecard and SLA analytics framework.</w:t>
      </w:r>
    </w:p>
    <w:p w14:paraId="5DD55793" w14:textId="77777777" w:rsidR="00D916E9" w:rsidRDefault="00000000">
      <w:pPr>
        <w:pStyle w:val="2"/>
      </w:pPr>
      <w:bookmarkStart w:id="7" w:name="education"/>
      <w:bookmarkEnd w:id="2"/>
      <w:bookmarkEnd w:id="6"/>
      <w:r>
        <w:t>Education</w:t>
      </w:r>
    </w:p>
    <w:p w14:paraId="5C8D8DA0" w14:textId="77777777" w:rsidR="00D916E9" w:rsidRDefault="00000000">
      <w:pPr>
        <w:pStyle w:val="FirstParagraph"/>
      </w:pPr>
      <w:r>
        <w:t xml:space="preserve">University of Wollongong, Australia — </w:t>
      </w:r>
      <w:r>
        <w:rPr>
          <w:b/>
          <w:bCs/>
        </w:rPr>
        <w:t>Master of International Business</w:t>
      </w:r>
      <w:r>
        <w:t xml:space="preserve"> | 2010 – 2011 Central Queensland University, Australia — Bachelor of Accounting | 2008 – 2010 Hunan Jishou University — Bachelor of Economics | 2004 – 2008</w:t>
      </w:r>
      <w:bookmarkEnd w:id="0"/>
      <w:bookmarkEnd w:id="7"/>
    </w:p>
    <w:sectPr w:rsidR="00D916E9">
      <w:footnotePr>
        <w:numRestart w:val="eachSect"/>
      </w:footnotePr>
      <w:pgSz w:w="12240" w:h="15840"/>
      <w:pgMar w:top="907" w:right="1020" w:bottom="907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70FB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2E39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228606">
    <w:abstractNumId w:val="0"/>
  </w:num>
  <w:num w:numId="2" w16cid:durableId="1822623904">
    <w:abstractNumId w:val="1"/>
  </w:num>
  <w:num w:numId="3" w16cid:durableId="740442428">
    <w:abstractNumId w:val="1"/>
  </w:num>
  <w:num w:numId="4" w16cid:durableId="2141026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6E9"/>
    <w:rsid w:val="003E0293"/>
    <w:rsid w:val="00903DDF"/>
    <w:rsid w:val="00D763FB"/>
    <w:rsid w:val="00D9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9069A"/>
  <w15:docId w15:val="{4238D7D6-59A7-4D18-B3C9-C6D67BE1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Calibri" w:eastAsia="微软雅黑" w:hAnsi="Calibri" w:cs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8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1F3864"/>
      <w:sz w:val="4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6" w:space="2" w:color="2E75B6"/>
      </w:pBdr>
      <w:spacing w:before="280" w:after="80" w:line="276" w:lineRule="auto"/>
      <w:outlineLvl w:val="1"/>
    </w:pPr>
    <w:rPr>
      <w:rFonts w:asciiTheme="majorHAnsi" w:eastAsiaTheme="majorEastAsia" w:hAnsiTheme="majorHAnsi" w:cstheme="majorBidi"/>
      <w:b/>
      <w:color w:val="2E75B6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40" w:line="276" w:lineRule="auto"/>
      <w:outlineLvl w:val="2"/>
    </w:pPr>
    <w:rPr>
      <w:rFonts w:eastAsiaTheme="majorEastAsia" w:cstheme="majorBidi"/>
      <w:b/>
      <w:color w:val="444444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/>
      <w:b/>
      <w:i/>
      <w:iCs/>
      <w:color w:val="444444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553</Words>
  <Characters>3457</Characters>
  <Application>Microsoft Office Word</Application>
  <DocSecurity>0</DocSecurity>
  <Lines>54</Lines>
  <Paragraphs>28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小妍 刘</cp:lastModifiedBy>
  <cp:revision>3</cp:revision>
  <dcterms:created xsi:type="dcterms:W3CDTF">2026-04-19T02:25:00Z</dcterms:created>
  <dcterms:modified xsi:type="dcterms:W3CDTF">2026-04-19T02:27:00Z</dcterms:modified>
</cp:coreProperties>
</file>