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A6DD" w14:textId="77777777" w:rsidR="00996FAF" w:rsidRDefault="00000000">
      <w:pPr>
        <w:spacing w:before="240" w:after="120"/>
        <w:jc w:val="center"/>
      </w:pPr>
      <w:r>
        <w:rPr>
          <w:b/>
          <w:sz w:val="44"/>
        </w:rPr>
        <w:t>Olina Liu (</w:t>
      </w:r>
      <w:r>
        <w:rPr>
          <w:b/>
          <w:sz w:val="44"/>
        </w:rPr>
        <w:t>刘小妍</w:t>
      </w:r>
      <w:r>
        <w:rPr>
          <w:b/>
          <w:sz w:val="44"/>
        </w:rPr>
        <w:t>)</w:t>
      </w:r>
    </w:p>
    <w:p w14:paraId="514D4E37" w14:textId="77777777" w:rsidR="00996FAF" w:rsidRDefault="00000000">
      <w:r>
        <w:t>Shanghai · +86 159-2197-8601 · olina11151@outlook.com · Mandarin (native) / English (working language)</w:t>
      </w:r>
    </w:p>
    <w:p w14:paraId="1DBE7D55" w14:textId="77777777" w:rsidR="00996FAF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FDAE831" w14:textId="77777777" w:rsidR="00996FAF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7C0A701F" w14:textId="77777777" w:rsidR="00996FAF" w:rsidRDefault="00000000">
      <w:r>
        <w:t>Senior Operations &amp; Programme Manager with 14 years bridging China operations and overseas headquarters across financial-services and enterprise-IT settings. Currently the sole China-based programme owner at a French banking subsidiary, acting as the operational anchor between China business units and HQ executive teams—covering programme governance, dual-track financial control (P&amp;L and cash-out), procurement coordination, supplier oversight, and cross-jurisdiction compliance. Proven across multi-site, multi-entity delivery (USD 50M+ portfolio across mainland China, Hong Kong and Taiwan at NCR; #1 ROI in APAC for three consecutive years). Trusted preparer of board-level and senior-leadership materials, with a track record of turning a small-share local entity into HQ's first reference deployment. Bilingual Mandarin/English; comfortable holding the ground when UK/EU headquarters and China stakeholders need a single, calm coordination point.</w:t>
      </w:r>
    </w:p>
    <w:p w14:paraId="377C4AAD" w14:textId="77777777" w:rsidR="00996FAF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6499A9A" w14:textId="77777777" w:rsidR="00996FAF" w:rsidRDefault="00000000">
      <w:pPr>
        <w:spacing w:before="240" w:after="120"/>
      </w:pPr>
      <w:r>
        <w:rPr>
          <w:b/>
          <w:sz w:val="32"/>
        </w:rPr>
        <w:t>Professional Experience</w:t>
      </w:r>
    </w:p>
    <w:p w14:paraId="40BCD1EC" w14:textId="77777777" w:rsidR="00996FAF" w:rsidRDefault="00000000">
      <w:pPr>
        <w:spacing w:before="240" w:after="120"/>
      </w:pPr>
      <w:r>
        <w:rPr>
          <w:b/>
          <w:sz w:val="28"/>
        </w:rPr>
        <w:t>BPCE Equipment Solutions (BPCE Group, France) — IT Project Manager</w:t>
      </w:r>
    </w:p>
    <w:p w14:paraId="26CE2B9E" w14:textId="77777777" w:rsidR="00996FAF" w:rsidRDefault="00000000">
      <w:r>
        <w:rPr>
          <w:i/>
        </w:rPr>
        <w:t>Sole China-based PM, reporting to COO · Nov 2022 – Present</w:t>
      </w:r>
    </w:p>
    <w:p w14:paraId="4E6C20EB" w14:textId="77777777" w:rsidR="00996FAF" w:rsidRDefault="00000000">
      <w:pPr>
        <w:ind w:left="714"/>
      </w:pPr>
      <w:r>
        <w:t xml:space="preserve">•   </w:t>
      </w:r>
      <w:r>
        <w:rPr>
          <w:b/>
        </w:rPr>
        <w:t>Single accountable bridge</w:t>
      </w:r>
      <w:r>
        <w:t xml:space="preserve"> between China operations and France HQ executive team across three core platforms (quotation tool, origination, database infrastructure); built business cases under cost-sharing constraints and prepared HQ-level briefings that secured priority funding for a small-share entity.</w:t>
      </w:r>
    </w:p>
    <w:p w14:paraId="2537AD04" w14:textId="77777777" w:rsidR="00996FAF" w:rsidRDefault="00000000">
      <w:pPr>
        <w:ind w:left="714"/>
      </w:pPr>
      <w:r>
        <w:t xml:space="preserve">•   Owned </w:t>
      </w:r>
      <w:r>
        <w:rPr>
          <w:b/>
        </w:rPr>
        <w:t>dual-track financial governance</w:t>
      </w:r>
      <w:r>
        <w:t xml:space="preserve"> (P&amp;L plus cash-out) for the China IT envelope; ran the procurement-cycle planning, PO sign-off and HQ budget submissions in lockstep with local finance and the European Creative-equivalent CBO.</w:t>
      </w:r>
    </w:p>
    <w:p w14:paraId="63F53D88" w14:textId="77777777" w:rsidR="00996FAF" w:rsidRDefault="00000000">
      <w:pPr>
        <w:ind w:left="714"/>
      </w:pPr>
      <w:r>
        <w:t xml:space="preserve">•   Drove </w:t>
      </w:r>
      <w:r>
        <w:rPr>
          <w:b/>
        </w:rPr>
        <w:t>dual-jurisdiction compliance</w:t>
      </w:r>
      <w:r>
        <w:t xml:space="preserve"> (PIPL + EU GDPR) across a 2-year rollout—delivered the Personal Information Protection Impact Assessment and end-to-end data mapping with local counsel and HQ data-protection teams; sustained continuous policy alignment as PIPL implementation rules evolved.</w:t>
      </w:r>
    </w:p>
    <w:p w14:paraId="52466465" w14:textId="77777777" w:rsidR="00996FAF" w:rsidRDefault="00000000">
      <w:pPr>
        <w:ind w:left="714"/>
      </w:pPr>
      <w:r>
        <w:t xml:space="preserve">•   First entity globally to complete full system go-live: 100% business utilisation within 2 months, zero critical defects, zero compliance incidents; deployment </w:t>
      </w:r>
      <w:r>
        <w:rPr>
          <w:b/>
        </w:rPr>
        <w:t>adopted as the HQ-wide replicable template</w:t>
      </w:r>
      <w:r>
        <w:t>, unlocking Phase-2 funding and a 70% operational-cost-reduction roadmap.</w:t>
      </w:r>
    </w:p>
    <w:p w14:paraId="7186564C" w14:textId="77777777" w:rsidR="00996FAF" w:rsidRDefault="00000000">
      <w:pPr>
        <w:spacing w:before="240" w:after="120"/>
      </w:pPr>
      <w:r>
        <w:rPr>
          <w:b/>
          <w:sz w:val="28"/>
        </w:rPr>
        <w:t>NCR Corporation (Greater China PMO) — Program Manager</w:t>
      </w:r>
    </w:p>
    <w:p w14:paraId="49A9991F" w14:textId="77777777" w:rsidR="00996FAF" w:rsidRDefault="00000000">
      <w:r>
        <w:rPr>
          <w:i/>
        </w:rPr>
        <w:t>Sep 2016 – Nov 2022</w:t>
      </w:r>
    </w:p>
    <w:p w14:paraId="0A640951" w14:textId="77777777" w:rsidR="00996FAF" w:rsidRDefault="00000000">
      <w:pPr>
        <w:ind w:left="714"/>
      </w:pPr>
      <w:r>
        <w:t xml:space="preserve">•   Led a </w:t>
      </w:r>
      <w:r>
        <w:rPr>
          <w:b/>
        </w:rPr>
        <w:t>USD 50M+ multi-site portfolio</w:t>
      </w:r>
      <w:r>
        <w:t xml:space="preserve"> of 15+ parallel projects across mainland China, Hong Kong and Taiwan; #1 ROI in APAC for three consecutive years (2019–2021), with 20+ production releases at zero major incident and zero audit-period compliance issue.</w:t>
      </w:r>
    </w:p>
    <w:p w14:paraId="3AC60DBE" w14:textId="77777777" w:rsidR="00996FAF" w:rsidRDefault="00000000">
      <w:pPr>
        <w:ind w:left="714"/>
      </w:pPr>
      <w:r>
        <w:lastRenderedPageBreak/>
        <w:t xml:space="preserve">•   Owned </w:t>
      </w:r>
      <w:r>
        <w:rPr>
          <w:b/>
        </w:rPr>
        <w:t>vendor and supplier governance</w:t>
      </w:r>
      <w:r>
        <w:t>: supplier scorecards, RFP and QBR cadence, and contract-performance monitoring across enterprise rollouts (GCA, EPM); chaired cross-functional forums spanning sales, operations and engineering.</w:t>
      </w:r>
    </w:p>
    <w:p w14:paraId="5B09F708" w14:textId="77777777" w:rsidR="00996FAF" w:rsidRDefault="00000000">
      <w:pPr>
        <w:ind w:left="714"/>
      </w:pPr>
      <w:r>
        <w:t>•   Built and replicated a structured account-transformation playbook to three additional accounts; anchor-account outcomes included 5% spare-parts cost saving and 20% labour reduction.</w:t>
      </w:r>
    </w:p>
    <w:p w14:paraId="2856D2E9" w14:textId="77777777" w:rsidR="00996FAF" w:rsidRDefault="00000000">
      <w:pPr>
        <w:spacing w:before="240" w:after="120"/>
      </w:pPr>
      <w:r>
        <w:rPr>
          <w:b/>
          <w:sz w:val="28"/>
        </w:rPr>
        <w:t>WuXi AppTec — Senior Project Manager, Commercial Operations</w:t>
      </w:r>
    </w:p>
    <w:p w14:paraId="25E608CA" w14:textId="77777777" w:rsidR="00996FAF" w:rsidRDefault="00000000">
      <w:r>
        <w:rPr>
          <w:i/>
        </w:rPr>
        <w:t>May 2015 – Aug 2016</w:t>
      </w:r>
      <w:r>
        <w:rPr>
          <w:sz w:val="2"/>
        </w:rPr>
        <w:br/>
      </w:r>
      <w:r>
        <w:br/>
        <w:t xml:space="preserve">Cross-functional project lead balancing multi-lab data-sharing needs with </w:t>
      </w:r>
      <w:r>
        <w:rPr>
          <w:b/>
        </w:rPr>
        <w:t>IP-protection standards</w:t>
      </w:r>
      <w:r>
        <w:t>; established the team's Lean Six Sigma Yellow Belt problem-solving framework.</w:t>
      </w:r>
    </w:p>
    <w:p w14:paraId="04EC068D" w14:textId="77777777" w:rsidR="00996FAF" w:rsidRDefault="00000000">
      <w:pPr>
        <w:spacing w:before="240" w:after="120"/>
      </w:pPr>
      <w:r>
        <w:rPr>
          <w:b/>
          <w:sz w:val="28"/>
        </w:rPr>
        <w:t>Hertz International — Customer Care Supervisor (7-person direct team)</w:t>
      </w:r>
    </w:p>
    <w:p w14:paraId="6DC4088A" w14:textId="77777777" w:rsidR="00996FAF" w:rsidRDefault="00000000">
      <w:r>
        <w:rPr>
          <w:i/>
        </w:rPr>
        <w:t>Dec 2011 – Apr 2015</w:t>
      </w:r>
      <w:r>
        <w:rPr>
          <w:sz w:val="2"/>
        </w:rPr>
        <w:br/>
      </w:r>
      <w:r>
        <w:br/>
        <w:t xml:space="preserve">Led 7-person team through M&amp;A reorganisation; built the company's first standardised post-sale playbook and </w:t>
      </w:r>
      <w:r>
        <w:rPr>
          <w:b/>
        </w:rPr>
        <w:t>supplier scorecard / SLA analytics framework</w:t>
      </w:r>
      <w:r>
        <w:t xml:space="preserve"> through global cross-team collaboration.</w:t>
      </w:r>
    </w:p>
    <w:p w14:paraId="1488949D" w14:textId="77777777" w:rsidR="00996FAF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6BA15E3" w14:textId="77777777" w:rsidR="00996FAF" w:rsidRDefault="00000000">
      <w:pPr>
        <w:spacing w:before="240" w:after="120"/>
      </w:pPr>
      <w:r>
        <w:rPr>
          <w:b/>
          <w:sz w:val="32"/>
        </w:rPr>
        <w:t>Education</w:t>
      </w:r>
    </w:p>
    <w:p w14:paraId="3BE690EA" w14:textId="77777777" w:rsidR="00996FAF" w:rsidRDefault="00000000">
      <w:pPr>
        <w:ind w:left="714"/>
      </w:pPr>
      <w:r>
        <w:t xml:space="preserve">•   </w:t>
      </w:r>
      <w:r>
        <w:rPr>
          <w:b/>
        </w:rPr>
        <w:t>M.Sc., International Business</w:t>
      </w:r>
      <w:r>
        <w:t xml:space="preserve"> — University of Wollongong, Australia · 2010–2011</w:t>
      </w:r>
    </w:p>
    <w:p w14:paraId="1752269E" w14:textId="77777777" w:rsidR="00996FAF" w:rsidRDefault="00000000">
      <w:pPr>
        <w:ind w:left="714"/>
      </w:pPr>
      <w:r>
        <w:t xml:space="preserve">•   </w:t>
      </w:r>
      <w:r>
        <w:rPr>
          <w:b/>
        </w:rPr>
        <w:t>B.Acc., Accounting</w:t>
      </w:r>
      <w:r>
        <w:t xml:space="preserve"> — Central Queensland University, Australia · 2008–2010</w:t>
      </w:r>
    </w:p>
    <w:p w14:paraId="45A04B6C" w14:textId="77777777" w:rsidR="00996FAF" w:rsidRDefault="00000000">
      <w:pPr>
        <w:ind w:left="714"/>
      </w:pPr>
      <w:r>
        <w:t xml:space="preserve">•   </w:t>
      </w:r>
      <w:r>
        <w:rPr>
          <w:b/>
        </w:rPr>
        <w:t>B.Econ., Economics</w:t>
      </w:r>
      <w:r>
        <w:t xml:space="preserve"> — Hunan Jishou University, China · 2004–2008</w:t>
      </w:r>
    </w:p>
    <w:p w14:paraId="317A47C6" w14:textId="77777777" w:rsidR="00996FAF" w:rsidRDefault="00000000">
      <w:pPr>
        <w:spacing w:before="240" w:after="120"/>
      </w:pPr>
      <w:r>
        <w:rPr>
          <w:b/>
          <w:sz w:val="32"/>
        </w:rPr>
        <w:t>Certifications &amp; Languages</w:t>
      </w:r>
    </w:p>
    <w:p w14:paraId="3B205318" w14:textId="77777777" w:rsidR="00996FAF" w:rsidRDefault="00000000">
      <w:r>
        <w:t>PMP (2017) · ITIL Foundation (2021) · Lean Six Sigma Yellow Belt · Mandarin (native) · English (working language)</w:t>
      </w:r>
    </w:p>
    <w:sectPr w:rsidR="00996FAF" w:rsidSect="00CE4F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349691">
    <w:abstractNumId w:val="8"/>
  </w:num>
  <w:num w:numId="2" w16cid:durableId="241448847">
    <w:abstractNumId w:val="6"/>
  </w:num>
  <w:num w:numId="3" w16cid:durableId="1707483715">
    <w:abstractNumId w:val="5"/>
  </w:num>
  <w:num w:numId="4" w16cid:durableId="1608150358">
    <w:abstractNumId w:val="4"/>
  </w:num>
  <w:num w:numId="5" w16cid:durableId="607664487">
    <w:abstractNumId w:val="7"/>
  </w:num>
  <w:num w:numId="6" w16cid:durableId="1303921223">
    <w:abstractNumId w:val="3"/>
  </w:num>
  <w:num w:numId="7" w16cid:durableId="1060523240">
    <w:abstractNumId w:val="2"/>
  </w:num>
  <w:num w:numId="8" w16cid:durableId="1247492153">
    <w:abstractNumId w:val="1"/>
  </w:num>
  <w:num w:numId="9" w16cid:durableId="34520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1A"/>
    <w:rsid w:val="00326F90"/>
    <w:rsid w:val="00996FAF"/>
    <w:rsid w:val="00AA1D8D"/>
    <w:rsid w:val="00B47730"/>
    <w:rsid w:val="00CB0664"/>
    <w:rsid w:val="00CE4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65CF8"/>
  <w14:defaultImageDpi w14:val="300"/>
  <w15:docId w15:val="{88DE2535-8BAF-4333-8EDF-6D02C6A4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535</Words>
  <Characters>3689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3</cp:revision>
  <cp:lastPrinted>2026-05-03T11:04:00Z</cp:lastPrinted>
  <dcterms:created xsi:type="dcterms:W3CDTF">2013-12-23T23:15:00Z</dcterms:created>
  <dcterms:modified xsi:type="dcterms:W3CDTF">2026-05-03T11:10:00Z</dcterms:modified>
  <cp:category/>
</cp:coreProperties>
</file>