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原告证据清单</w:t>
      </w:r>
    </w:p>
    <w:p>
      <w:r>
        <w:rPr>
          <w:b/>
        </w:rPr>
        <w:t>案件</w:t>
      </w:r>
      <w:r>
        <w:t>: 刘小妍 诉 上海世纪商务大厦物业管理有限公司 物业服务合同纠纷</w:t>
      </w:r>
    </w:p>
    <w:p>
      <w:r>
        <w:rPr>
          <w:b/>
        </w:rPr>
        <w:t>法院</w:t>
      </w:r>
      <w:r>
        <w:t>: 上海市普陀区人民法院</w:t>
      </w:r>
    </w:p>
    <w:p>
      <w:r>
        <w:rPr>
          <w:b/>
        </w:rPr>
        <w:t>提交人</w:t>
      </w:r>
      <w:r>
        <w:t>: 原告 刘小妍</w:t>
      </w:r>
    </w:p>
    <w:p>
      <w:r>
        <w:rPr>
          <w:b/>
        </w:rPr>
        <w:t>日期</w:t>
      </w:r>
      <w:r>
        <w:t>: 2026年 月 日</w:t>
      </w:r>
    </w:p>
    <w:p>
      <w:pPr>
        <w:pStyle w:val="Quote"/>
      </w:pPr>
      <w:r>
        <w:rPr>
          <w:b/>
        </w:rPr>
        <w:t>律师审阅提示</w:t>
      </w:r>
      <w:r>
        <w:t>：本清单综合庭审策略文档v3.0全部证据引用整理而成，供律师审阅后决定：(1) 哪些证据在开庭前提交；(2) 哪些证据留到庭审中适时出示；(3) 是否需要补充其他证据。标注"⏳待补"的材料尚需原告确认是否已取得。</w:t>
      </w:r>
    </w:p>
    <w:p>
      <w:pPr>
        <w:pStyle w:val="Heading2"/>
      </w:pPr>
      <w:r>
        <w:t>一、合同与规范性文件类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《物业服务合同》（含第6条、第24条、第31条及附件3"共用设施设备清单"）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附件3约定热水系统属共用设施设备，被告负有运行维护义务；2. 第6条约定物业费采用包干制，物业费是全部合同义务的对价；3. 第24条约定擅自提高收费标准的已支付部分双倍返还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《能源管理合同》（被告与上海济通中普能源科技发展有限公司签订）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被告未经业主大会授权，以甲方身份签订15年/168万元商业合同；2. 合同约定节能收益由被告与第三方按比例分成，业主零收益；3. 合同第9条约定期满设备归甲方（被告），暗示设备原不属于被告；4. 合同约定"物业撤出后义务由业主继承"，未经授权为业主设定义务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原-10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《住户手册》（被告制定发放）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系被告单方制定的格式条款，非双方协商合同；2. 原文仅规定热水费"根据运行成本制定"，未约定具体单价；3. 第四章主动援引《住宅说明书》，自认热水系统属建筑配套设施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《管理规约》（2017年业主大会通过）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第11条明确规定"利用共有部分经营须经业主大会同意"；2. 全文23条无任何授权被告进行热水经营的条款；3. 被告签订能源管理合同违反自己参与制定的规约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《住宅说明书》（开发商2004年竣工提供）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第三章记载热水设备参数，证明热水系统为开发商建设的建筑配套设施；2. 记载"每户设热水表各一个"，证明原设计支持按户计量</w:t>
            </w:r>
          </w:p>
        </w:tc>
      </w:tr>
    </w:tbl>
    <w:p/>
    <w:p>
      <w:pPr>
        <w:pStyle w:val="Heading2"/>
      </w:pPr>
      <w:r>
        <w:t>二、收费与缴费记录类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原-6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原告2018年9月至2024年6月全部热水费缴费记录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原告在诉前全额缴清热水费，从未拖欠；2. 确认各期缴费单价（39元/m³及42元/m³）及原告用量（共计132.5吨）；3. 封死被告"恶意拖欠"抗辩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原-5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退费计算表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详细列示2018年9月至2024年6月逐年退费计算过程；2. 扣除不合理成本项后合理单价与实际单价的差额×原告用量 = 应退3,041.57元；3. 按合同第24条双倍返还 = 6,083.14元</w:t>
            </w:r>
          </w:p>
        </w:tc>
      </w:tr>
    </w:tbl>
    <w:p/>
    <w:p>
      <w:pPr>
        <w:pStyle w:val="Heading2"/>
      </w:pPr>
      <w:r>
        <w:t>三、知情时间与诉讼时效类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原-7a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被告《致全体业主的公开信》（2024年7月）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原告首次知晓热水系统改造事实，诉讼时效起算点不早于2024年7月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原-7b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被告《热水费Q&amp;A》（2024年9月）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原告首次了解改造详情和成本构成，进一步确认知情时间不早于2024年</w:t>
            </w:r>
          </w:p>
        </w:tc>
      </w:tr>
    </w:tbl>
    <w:p/>
    <w:p>
      <w:pPr>
        <w:pStyle w:val="Heading2"/>
      </w:pPr>
      <w:r>
        <w:t>四、被告行为违法性类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原-3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原告热水表被拆除的照片/视频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视听资料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被告于2026年1月15日在原告不在家时强行拆除热水表；2. 诉讼进行中被告对原告采取断供措施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原-3a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派出所出警现场录像录音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视听资料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民警在</w:t>
            </w:r>
            <w:r>
              <w:rPr>
                <w:b/>
                <w:sz w:val="20"/>
              </w:rPr>
              <w:t>其他业主</w:t>
            </w:r>
            <w:r>
              <w:rPr>
                <w:sz w:val="20"/>
              </w:rPr>
              <w:t>拆表事件中已明确告知被告"没有依据"并制止；2. 被告拒绝服从后继续对多户实施同类行为，具有系统性和主观恶意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12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原-4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原告自费安装热水器的费用凭证（发票/收据）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⏳待补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因被告拆表断供，原告被迫自费安装热水器的实际损失金额</w:t>
            </w:r>
          </w:p>
        </w:tc>
      </w:tr>
    </w:tbl>
    <w:p/>
    <w:p>
      <w:pPr>
        <w:pStyle w:val="Heading2"/>
      </w:pPr>
      <w:r>
        <w:t>五、成本数据矛盾类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原-8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同一时间段两份数据不一致的热水成本表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被告在不同场合提交的成本数据互相矛盾，成本表不具有可信度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14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原-9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2020-2021年节能费结算凭证（8个季度）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复印件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证明成本表"水费/节能费"科目与结算单金额100%吻合（17季度差额为零），锁定节能费 = 能源合同分成；2. 暴露记账口径根本矛盾——同一"水费/节能费"科目2020-2021年记为收入、2022-2024年记为支出</w:t>
            </w:r>
          </w:p>
        </w:tc>
      </w:tr>
    </w:tbl>
    <w:p/>
    <w:p>
      <w:pPr>
        <w:pStyle w:val="Heading2"/>
      </w:pPr>
      <w:r>
        <w:t>六、沟通记录类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证据编号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证据名称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证据形式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份数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原件/复印件</w:t>
            </w:r>
          </w:p>
        </w:tc>
        <w:tc>
          <w:tcPr>
            <w:tcW w:type="dxa" w:w="1295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证明目的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原-13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物业经理陈源在业主微信群的发言截图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打印件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物业经理承认锅炉工人工费"是专职的，不计入物业费人工"——被告自认人工费系在物业费之外额外向业主收取</w:t>
            </w:r>
          </w:p>
        </w:tc>
      </w:tr>
      <w:tr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16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原-14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原告与被告的沟通记录（微信/书面往来）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书证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⏳待补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打印件</w:t>
            </w:r>
          </w:p>
        </w:tc>
        <w:tc>
          <w:tcPr>
            <w:tcW w:type="dxa" w:w="1295"/>
          </w:tcPr>
          <w:p>
            <w:r>
              <w:rPr>
                <w:sz w:val="20"/>
              </w:rPr>
            </w:r>
            <w:r>
              <w:rPr>
                <w:sz w:val="20"/>
              </w:rPr>
              <w:t>1. 原告多次要求被告出示产权证明、经营授权等材料；2. 被告拒绝提供；3. 被告多次催缴并威胁断供</w:t>
            </w:r>
          </w:p>
        </w:tc>
      </w:tr>
    </w:tbl>
    <w:p/>
    <w:p>
      <w:pPr>
        <w:pStyle w:val="Heading2"/>
      </w:pPr>
      <w:r>
        <w:t>律师审阅要点</w:t>
      </w:r>
    </w:p>
    <w:p>
      <w:pPr>
        <w:pStyle w:val="Heading3"/>
      </w:pPr>
      <w:r>
        <w:t>一、关于举证时机</w:t>
      </w:r>
    </w:p>
    <w:p>
      <w:r>
        <w:t>策略文档建议的</w:t>
      </w:r>
      <w:r>
        <w:rPr>
          <w:b/>
        </w:rPr>
        <w:t>举证顺序</w:t>
      </w:r>
      <w:r>
        <w:t>为：原-1 → 原-6 → 原-7 → 原-3/3a → 原-4 → 原-5</w:t>
      </w:r>
    </w:p>
    <w:p>
      <w:r>
        <w:rPr>
          <w:b/>
        </w:rPr>
        <w:t>建议留到辩论阶段出示的证据</w:t>
      </w:r>
      <w:r>
        <w:t>：</w:t>
      </w:r>
    </w:p>
    <w:p>
      <w:pPr>
        <w:spacing w:after="40"/>
        <w:ind w:left="340"/>
      </w:pPr>
      <w:r>
        <w:t xml:space="preserve">• </w:t>
      </w:r>
      <w:r>
        <w:rPr>
          <w:b/>
        </w:rPr>
        <w:t>原-8</w:t>
      </w:r>
      <w:r>
        <w:t>（两份矛盾成本表）：先让被告在法庭调查阶段把"42元合理成本"说透说死，辩论阶段再用两份矛盾数据当场反驳</w:t>
      </w:r>
    </w:p>
    <w:p>
      <w:pPr>
        <w:spacing w:after="40"/>
        <w:ind w:left="340"/>
      </w:pPr>
      <w:r>
        <w:t xml:space="preserve">• </w:t>
      </w:r>
      <w:r>
        <w:rPr>
          <w:b/>
        </w:rPr>
        <w:t>原-9</w:t>
      </w:r>
      <w:r>
        <w:t>（记账口径矛盾）：配合原-8打击成本表可信度</w:t>
      </w:r>
    </w:p>
    <w:p>
      <w:r>
        <w:rPr>
          <w:b/>
        </w:rPr>
        <w:t>问题</w:t>
      </w:r>
      <w:r>
        <w:t>：上述两份证据是否仍需在开庭前证据清单中列明？还是可以作为"新发现的证据"在庭审中提出？请律师确认当地法院对证据提交时限的具体要求。</w:t>
      </w:r>
    </w:p>
    <w:p>
      <w:pPr>
        <w:pStyle w:val="Heading3"/>
      </w:pPr>
      <w:r>
        <w:t>二、待确认/待补充事项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序号</w:t>
            </w:r>
          </w:p>
        </w:tc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事项</w:t>
            </w:r>
          </w:p>
        </w:tc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原-4 安装热水器费用凭证（发票/收据）是否已取得？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⏳待原告确认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原-14 与被告的沟通记录是否已整理？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⏳待原告确认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原-3a 派出所出警录像——是否需要同时申请调取派出所接处警回执作为补强？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⏳待律师确认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被告提交的锅炉工薪资表（2022-2024三份Excel）中发现的六大矛盾（零社保、月度固定、人数虚增等），是否需要原告单独制作分析说明作为证据提交？还是仅在质证/辩论中口头指出？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⏳待律师确认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是否建议申请法院调查取证？（如：被告营业执照副本、被告从能源合同获得的甲方分成收入明细）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⏳待律师确认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是否需要提交类似案例裁判文书作为参考？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⏳待律师确认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原-8 和 原-9 是否需要在开庭前证据清单中列明？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⏳待律师确认</w:t>
            </w:r>
          </w:p>
        </w:tc>
      </w:tr>
    </w:tbl>
    <w:p/>
    <w:p>
      <w:pPr>
        <w:pStyle w:val="Heading3"/>
      </w:pPr>
      <w:r>
        <w:t>三、证据与三条攻击线的对应关系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攻击线</w:t>
            </w:r>
          </w:p>
        </w:tc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直接支撑证据</w:t>
            </w:r>
          </w:p>
        </w:tc>
        <w:tc>
          <w:tcPr>
            <w:tcW w:type="dxa" w:w="3022"/>
            <w:shd w:fill="E8E8E8" w:val="clear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间接支撑证据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攻击线一（节能费/产权倒逼）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原-2、原-9、原-11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原-1、原-5、原-12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攻击线二（人工费不应计入）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原-10、原-13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原-1、原-5、原-8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攻击线三（定价程序质疑）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原-10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原-6、原-11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拆表事件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原-3、原-3a、原-4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原-6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诉讼时效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原-7a、原-7b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</w:r>
            <w:r>
              <w:rPr>
                <w:sz w:val="20"/>
              </w:rPr>
              <w:t>原-6</w:t>
            </w:r>
          </w:p>
        </w:tc>
      </w:tr>
    </w:tbl>
    <w:p/>
    <w:p>
      <w:r>
        <w:t>*文档版本：v1.0 | 编制日期：2026年4月13日 | 配合使用：庭审策略文档v3.0、发问提纲v1.0*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/>
      <w:ind w:left="567"/>
    </w:pPr>
    <w:rPr>
      <w:rFonts w:ascii="楷体" w:hAnsi="楷体" w:eastAsia="楷体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20" w:line="264" w:lineRule="auto"/>
      <w:ind w:left="283"/>
      <w:shd w:fill="F2F2F2" w:val="clear"/>
    </w:pPr>
    <w:rPr>
      <w:rFonts w:ascii="Consolas" w:hAnsi="Consolas" w:eastAsia="宋体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