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200" w:before="0"/>
        <w:jc w:val="center"/>
      </w:pPr>
      <w:r>
        <w:rPr>
          <w:rFonts w:ascii="Arial" w:cs="Arial" w:eastAsia="Arial" w:hAnsi="Arial"/>
          <w:b/>
          <w:bCs/>
          <w:color w:val="1B4F72"/>
          <w:sz w:val="60"/>
          <w:szCs w:val="60"/>
        </w:rPr>
        <w:t xml:space="preserve">人工费重复收取</w:t>
      </w:r>
    </w:p>
    <w:p>
      <w:pPr>
        <w:spacing w:after="400" w:before="0"/>
        <w:jc w:val="center"/>
      </w:pPr>
      <w:r>
        <w:rPr>
          <w:rFonts w:ascii="Arial" w:cs="Arial" w:eastAsia="Arial" w:hAnsi="Arial"/>
          <w:color w:val="444444"/>
          <w:sz w:val="32"/>
          <w:szCs w:val="32"/>
        </w:rPr>
        <w:t xml:space="preserve">庭审证据分析报告（第六版）</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B4F72"/>
                <w:sz w:val="20"/>
                <w:szCs w:val="20"/>
              </w:rPr>
              <w:t xml:space="preserve">原告</w:t>
            </w:r>
          </w:p>
        </w:tc>
        <w:tc>
          <w:tcPr>
            <w:tcW w:type="dxa" w:w="3800"/>
            <w:tcBorders>
              <w:top w:val="single" w:color="CCCCCC" w:sz="4"/>
              <w:left w:val="single" w:color="CCCCCC" w:sz="4"/>
              <w:bottom w:val="single" w:color="CCCCCC" w:sz="4"/>
              <w:right w:val="single" w:color="CCCCCC" w:sz="4"/>
            </w:tcBorders>
            <w:shd w:fill="FDFEFE"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20"/>
                <w:szCs w:val="20"/>
              </w:rPr>
              <w:t xml:space="preserve">刘小妍</w:t>
            </w:r>
          </w:p>
        </w:tc>
      </w:tr>
      <w:tr>
        <w:tc>
          <w:tcPr>
            <w:tcW w:type="dxa" w:w="22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B4F72"/>
                <w:sz w:val="20"/>
                <w:szCs w:val="20"/>
              </w:rPr>
              <w:t xml:space="preserve">被告</w:t>
            </w:r>
          </w:p>
        </w:tc>
        <w:tc>
          <w:tcPr>
            <w:tcW w:type="dxa" w:w="3800"/>
            <w:tcBorders>
              <w:top w:val="single" w:color="CCCCCC" w:sz="4"/>
              <w:left w:val="single" w:color="CCCCCC" w:sz="4"/>
              <w:bottom w:val="single" w:color="CCCCCC" w:sz="4"/>
              <w:right w:val="single" w:color="CCCCCC" w:sz="4"/>
            </w:tcBorders>
            <w:shd w:fill="F8FBFD"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20"/>
                <w:szCs w:val="20"/>
              </w:rPr>
              <w:t xml:space="preserve">上海世纪商务大厦物业管理有限公司</w:t>
            </w:r>
          </w:p>
        </w:tc>
      </w:tr>
      <w:tr>
        <w:tc>
          <w:tcPr>
            <w:tcW w:type="dxa" w:w="22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B4F72"/>
                <w:sz w:val="20"/>
                <w:szCs w:val="20"/>
              </w:rPr>
              <w:t xml:space="preserve">法院</w:t>
            </w:r>
          </w:p>
        </w:tc>
        <w:tc>
          <w:tcPr>
            <w:tcW w:type="dxa" w:w="3800"/>
            <w:tcBorders>
              <w:top w:val="single" w:color="CCCCCC" w:sz="4"/>
              <w:left w:val="single" w:color="CCCCCC" w:sz="4"/>
              <w:bottom w:val="single" w:color="CCCCCC" w:sz="4"/>
              <w:right w:val="single" w:color="CCCCCC" w:sz="4"/>
            </w:tcBorders>
            <w:shd w:fill="FDFEFE"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20"/>
                <w:szCs w:val="20"/>
              </w:rPr>
              <w:t xml:space="preserve">上海市普陀区人民法院</w:t>
            </w:r>
          </w:p>
        </w:tc>
      </w:tr>
      <w:tr>
        <w:tc>
          <w:tcPr>
            <w:tcW w:type="dxa" w:w="22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B4F72"/>
                <w:sz w:val="20"/>
                <w:szCs w:val="20"/>
              </w:rPr>
              <w:t xml:space="preserve">开庭</w:t>
            </w:r>
          </w:p>
        </w:tc>
        <w:tc>
          <w:tcPr>
            <w:tcW w:type="dxa" w:w="3800"/>
            <w:tcBorders>
              <w:top w:val="single" w:color="CCCCCC" w:sz="4"/>
              <w:left w:val="single" w:color="CCCCCC" w:sz="4"/>
              <w:bottom w:val="single" w:color="CCCCCC" w:sz="4"/>
              <w:right w:val="single" w:color="CCCCCC" w:sz="4"/>
            </w:tcBorders>
            <w:shd w:fill="F8FBFD"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20"/>
                <w:szCs w:val="20"/>
              </w:rPr>
              <w:t xml:space="preserve">2026年5月初（预计）</w:t>
            </w:r>
          </w:p>
        </w:tc>
      </w:tr>
      <w:tr>
        <w:tc>
          <w:tcPr>
            <w:tcW w:type="dxa" w:w="22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B4F72"/>
                <w:sz w:val="20"/>
                <w:szCs w:val="20"/>
              </w:rPr>
              <w:t xml:space="preserve">诉请</w:t>
            </w:r>
          </w:p>
        </w:tc>
        <w:tc>
          <w:tcPr>
            <w:tcW w:type="dxa" w:w="3800"/>
            <w:tcBorders>
              <w:top w:val="single" w:color="CCCCCC" w:sz="4"/>
              <w:left w:val="single" w:color="CCCCCC" w:sz="4"/>
              <w:bottom w:val="single" w:color="CCCCCC" w:sz="4"/>
              <w:right w:val="single" w:color="CCCCCC" w:sz="4"/>
            </w:tcBorders>
            <w:shd w:fill="FDFEFE"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20"/>
                <w:szCs w:val="20"/>
              </w:rPr>
              <w:t xml:space="preserve">退还热水费 6,083.14元</w:t>
            </w:r>
          </w:p>
        </w:tc>
      </w:tr>
      <w:tr>
        <w:tc>
          <w:tcPr>
            <w:tcW w:type="dxa" w:w="22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B4F72"/>
                <w:sz w:val="20"/>
                <w:szCs w:val="20"/>
              </w:rPr>
              <w:t xml:space="preserve">文件日期</w:t>
            </w:r>
          </w:p>
        </w:tc>
        <w:tc>
          <w:tcPr>
            <w:tcW w:type="dxa" w:w="3800"/>
            <w:tcBorders>
              <w:top w:val="single" w:color="CCCCCC" w:sz="4"/>
              <w:left w:val="single" w:color="CCCCCC" w:sz="4"/>
              <w:bottom w:val="single" w:color="CCCCCC" w:sz="4"/>
              <w:right w:val="single" w:color="CCCCCC" w:sz="4"/>
            </w:tcBorders>
            <w:shd w:fill="F8FBFD"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20"/>
                <w:szCs w:val="20"/>
              </w:rPr>
              <w:t xml:space="preserve">2026年4月11日（第六版修正：第八章改为人工费核心成本项定位；第十五章删除矛盾四（收入脱钩论点不成立），保留三大成立矛盾）</w:t>
            </w:r>
          </w:p>
        </w:tc>
      </w:tr>
    </w:tbl>
    <w:p>
      <w:pPr>
        <w:spacing w:after="200" w:before="400"/>
        <w:jc w:val="center"/>
      </w:pPr>
      <w:r>
        <w:rPr>
          <w:rFonts w:ascii="Arial" w:cs="Arial" w:eastAsia="Arial" w:hAnsi="Arial"/>
          <w:i/>
          <w:iCs/>
          <w:color w:val="666666"/>
          <w:sz w:val="18"/>
          <w:szCs w:val="18"/>
        </w:rPr>
        <w:t xml:space="preserve">本文件属于律师工作文件，仅供庭审准备使用</w:t>
      </w:r>
    </w:p>
    <w:p>
      <w:pPr>
        <w:spacing w:after="80" w:before="200"/>
        <w:jc w:val="center"/>
      </w:pPr>
      <w:r>
        <w:rPr>
          <w:rFonts w:ascii="Arial" w:cs="Arial" w:eastAsia="Arial" w:hAnsi="Arial"/>
          <w:b/>
          <w:bCs/>
          <w:color w:val="1B4F72"/>
          <w:sz w:val="22"/>
          <w:szCs w:val="22"/>
        </w:rPr>
        <w:t xml:space="preserve">报告结构（MECE四层框架）</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506"/>
      </w:tblGrid>
      <w:tr>
        <w:trPr>
          <w:tblHeader/>
        </w:trPr>
        <w:tc>
          <w:tcPr>
            <w:tcW w:type="dxa" w:w="20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层级</w:t>
            </w:r>
          </w:p>
        </w:tc>
        <w:tc>
          <w:tcPr>
            <w:tcW w:type="dxa" w:w="20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章节</w:t>
            </w:r>
          </w:p>
        </w:tc>
        <w:tc>
          <w:tcPr>
            <w:tcW w:type="dxa" w:w="5506"/>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核心问题</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A1A1A"/>
                <w:sz w:val="19"/>
                <w:szCs w:val="19"/>
              </w:rPr>
              <w:t xml:space="preserve">第一层：论证基础</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一至六章</w:t>
            </w:r>
          </w:p>
        </w:tc>
        <w:tc>
          <w:tcPr>
            <w:tcW w:type="dxa" w:w="55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人工费被重复收取的完整论证链（事实+法律+合同）</w:t>
            </w:r>
          </w:p>
        </w:tc>
      </w:tr>
      <w:tr>
        <w:tc>
          <w:tcPr>
            <w:tcW w:type="dxa" w:w="20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A1A1A"/>
                <w:sz w:val="19"/>
                <w:szCs w:val="19"/>
              </w:rPr>
              <w:t xml:space="preserve">第二层：证据深挖</w:t>
            </w:r>
          </w:p>
        </w:tc>
        <w:tc>
          <w:tcPr>
            <w:tcW w:type="dxa" w:w="20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七至八章</w:t>
            </w:r>
          </w:p>
        </w:tc>
        <w:tc>
          <w:tcPr>
            <w:tcW w:type="dxa" w:w="5506"/>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被告自委评估报告的质证 + 可量化超收金额</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A1A1A"/>
                <w:sz w:val="19"/>
                <w:szCs w:val="19"/>
              </w:rPr>
              <w:t xml:space="preserve">第三层：被告矛盾</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九至十五章</w:t>
            </w:r>
          </w:p>
        </w:tc>
        <w:tc>
          <w:tcPr>
            <w:tcW w:type="dxa" w:w="55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被告内部文件与数据的七大矛盾（互斥，无遗漏）</w:t>
            </w:r>
          </w:p>
        </w:tc>
      </w:tr>
      <w:tr>
        <w:tc>
          <w:tcPr>
            <w:tcW w:type="dxa" w:w="20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A1A1A"/>
                <w:sz w:val="19"/>
                <w:szCs w:val="19"/>
              </w:rPr>
              <w:t xml:space="preserve">第四层：庭审操作</w:t>
            </w:r>
          </w:p>
        </w:tc>
        <w:tc>
          <w:tcPr>
            <w:tcW w:type="dxa" w:w="20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十六章</w:t>
            </w:r>
          </w:p>
        </w:tc>
        <w:tc>
          <w:tcPr>
            <w:tcW w:type="dxa" w:w="5506"/>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给律师的具体建议</w:t>
            </w:r>
          </w:p>
        </w:tc>
      </w:tr>
    </w:tbl>
    <w:p>
      <w:r>
        <w:br w:type="page"/>
      </w:r>
    </w:p>
    <w:p>
      <w:pPr>
        <w:pStyle w:val="Heading1"/>
        <w:shd w:fill="1B4F72" w:val="clear"/>
        <w:spacing w:after="160" w:before="0"/>
        <w:ind w:left="200" w:right="200"/>
      </w:pPr>
      <w:r>
        <w:rPr>
          <w:rFonts w:ascii="Arial" w:cs="Arial" w:eastAsia="Arial" w:hAnsi="Arial"/>
          <w:b/>
          <w:bCs/>
          <w:color w:val="FFFFFF"/>
          <w:sz w:val="32"/>
          <w:szCs w:val="32"/>
        </w:rPr>
        <w:t xml:space="preserve">一、案件基本情况与核心命题</w:t>
      </w:r>
    </w:p>
    <w:p>
      <w:pPr>
        <w:spacing w:after="80" w:before="80" w:line="320"/>
        <w:jc w:val="left"/>
      </w:pPr>
      <w:r>
        <w:rPr>
          <w:rFonts w:ascii="Arial" w:cs="Arial" w:eastAsia="Arial" w:hAnsi="Arial"/>
          <w:b w:val="false"/>
          <w:bCs w:val="false"/>
          <w:i w:val="false"/>
          <w:iCs w:val="false"/>
          <w:color w:val="1A1A1A"/>
          <w:sz w:val="20"/>
          <w:szCs w:val="20"/>
        </w:rPr>
        <w:t xml:space="preserve">本报告聚焦"人工费重复收取"主张，属于独立攻击线，与热水系统产权归属问题无关，可单独成立。</w:t>
      </w:r>
    </w:p>
    <w:p>
      <w:pPr>
        <w:spacing w:after="80" w:before="80" w:line="320"/>
        <w:jc w:val="left"/>
      </w:pPr>
      <w:r>
        <w:rPr>
          <w:rFonts w:ascii="Arial" w:cs="Arial" w:eastAsia="Arial" w:hAnsi="Arial"/>
          <w:b w:val="false"/>
          <w:bCs w:val="false"/>
          <w:i w:val="false"/>
          <w:iCs w:val="false"/>
          <w:color w:val="1A1A1A"/>
          <w:sz w:val="20"/>
          <w:szCs w:val="20"/>
        </w:rPr>
        <w:t xml:space="preserve">核心命题：被告将同一批员工（工程维修中心水电工）的工资成本，同时计入物业管理费和热水费"运行成本"（住户手册第四章原文用词），对同一支出实施双重收取。</w:t>
      </w:r>
    </w:p>
    <w:p>
      <w:pPr>
        <w:spacing w:after="0" w:before="0"/>
      </w:pPr>
      <w:r>
        <w:t xml:space="preserve"/>
      </w:r>
    </w:p>
    <w:p>
      <w:pPr>
        <w:pStyle w:val="Heading1"/>
        <w:pageBreakBefore/>
        <w:shd w:fill="1B4F72" w:val="clear"/>
        <w:spacing w:after="160" w:before="0"/>
        <w:ind w:left="200" w:right="200"/>
      </w:pPr>
      <w:r>
        <w:rPr>
          <w:rFonts w:ascii="Arial" w:cs="Arial" w:eastAsia="Arial" w:hAnsi="Arial"/>
          <w:b/>
          <w:bCs/>
          <w:color w:val="FFFFFF"/>
          <w:sz w:val="32"/>
          <w:szCs w:val="32"/>
        </w:rPr>
        <w:t xml:space="preserve">二、本次分析所依据的证据材料</w:t>
      </w:r>
    </w:p>
    <w:p>
      <w:pPr>
        <w:spacing w:after="80" w:before="80" w:line="320"/>
        <w:jc w:val="left"/>
      </w:pPr>
      <w:r>
        <w:rPr>
          <w:rFonts w:ascii="Arial" w:cs="Arial" w:eastAsia="Arial" w:hAnsi="Arial"/>
          <w:b w:val="false"/>
          <w:bCs w:val="false"/>
          <w:i w:val="false"/>
          <w:iCs w:val="false"/>
          <w:color w:val="1A1A1A"/>
          <w:sz w:val="20"/>
          <w:szCs w:val="20"/>
        </w:rPr>
        <w:t xml:space="preserve">以下材料均由被告或双方提交，真实性有保障：</w:t>
      </w:r>
    </w:p>
    <w:p>
      <w:pPr>
        <w:spacing w:after="0" w:before="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706"/>
      </w:tblGrid>
      <w:tr>
        <w:trPr>
          <w:tblHeader/>
        </w:trPr>
        <w:tc>
          <w:tcPr>
            <w:tcW w:type="dxa" w:w="6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序号</w:t>
            </w:r>
          </w:p>
        </w:tc>
        <w:tc>
          <w:tcPr>
            <w:tcW w:type="dxa" w:w="32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材料名称</w:t>
            </w:r>
          </w:p>
        </w:tc>
        <w:tc>
          <w:tcPr>
            <w:tcW w:type="dxa" w:w="5706"/>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关键内容</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1</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住户手册（圣天地公寓）</w:t>
            </w:r>
          </w:p>
        </w:tc>
        <w:tc>
          <w:tcPr>
            <w:tcW w:type="dxa" w:w="57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第三章：物业管理费支出项目清单；第四章：热水费定价依据（原文用词：运行成本）</w:t>
            </w:r>
          </w:p>
        </w:tc>
      </w:tr>
      <w:tr>
        <w:tc>
          <w:tcPr>
            <w:tcW w:type="dxa" w:w="6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2</w:t>
            </w:r>
          </w:p>
        </w:tc>
        <w:tc>
          <w:tcPr>
            <w:tcW w:type="dxa" w:w="32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物业服务合同（含附件三）</w:t>
            </w:r>
          </w:p>
        </w:tc>
        <w:tc>
          <w:tcPr>
            <w:tcW w:type="dxa" w:w="5706"/>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附件三热水系统条款；第二十四条双倍返还条款；第三十一条共用设施定义</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3</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劳动合同×5份</w:t>
            </w:r>
          </w:p>
        </w:tc>
        <w:tc>
          <w:tcPr>
            <w:tcW w:type="dxa" w:w="57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马春生、王贵阳、王文乾、张标、张译元，甲方均为被告；张标、张译元明确归属工程维修中心，岗位：水电工</w:t>
            </w:r>
          </w:p>
        </w:tc>
      </w:tr>
      <w:tr>
        <w:tc>
          <w:tcPr>
            <w:tcW w:type="dxa" w:w="6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4</w:t>
            </w:r>
          </w:p>
        </w:tc>
        <w:tc>
          <w:tcPr>
            <w:tcW w:type="dxa" w:w="32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2022年度个税申报表</w:t>
            </w:r>
          </w:p>
        </w:tc>
        <w:tc>
          <w:tcPr>
            <w:tcW w:type="dxa" w:w="5706"/>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张译元、王文乾、马春生全年薪资；王文乾、马春生专项扣除=0，证明无社保缴纳</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5</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2023年度个税申报表</w:t>
            </w:r>
          </w:p>
        </w:tc>
        <w:tc>
          <w:tcPr>
            <w:tcW w:type="dxa" w:w="57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同上；2023年缺口35,579元，超出单人雇主端社保范围</w:t>
            </w:r>
          </w:p>
        </w:tc>
      </w:tr>
      <w:tr>
        <w:tc>
          <w:tcPr>
            <w:tcW w:type="dxa" w:w="6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6</w:t>
            </w:r>
          </w:p>
        </w:tc>
        <w:tc>
          <w:tcPr>
            <w:tcW w:type="dxa" w:w="32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2018-2024年热水成本分摊表</w:t>
            </w:r>
          </w:p>
        </w:tc>
        <w:tc>
          <w:tcPr>
            <w:tcW w:type="dxa" w:w="5706"/>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被告自制，逐年人工成本、各项支出和收入；2022、2023年每月人工固定到分</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7</w:t>
            </w:r>
          </w:p>
        </w:tc>
        <w:tc>
          <w:tcPr>
            <w:tcW w:type="dxa" w:w="32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922B21"/>
                <w:sz w:val="19"/>
                <w:szCs w:val="19"/>
              </w:rPr>
              <w:t xml:space="preserve">德同咨询热水系统评估报告（被告单方委托）</w:t>
            </w:r>
          </w:p>
        </w:tc>
        <w:tc>
          <w:tcPr>
            <w:tcW w:type="dxa" w:w="5706"/>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922B21"/>
                <w:sz w:val="19"/>
                <w:szCs w:val="19"/>
              </w:rPr>
              <w:t xml:space="preserve">被告提交的成本测算报告，内含人工成本31,814.23元/月——直接证实人工费被计入热水费</w:t>
            </w:r>
          </w:p>
        </w:tc>
      </w:tr>
    </w:tbl>
    <w:p>
      <w:pPr>
        <w:spacing w:after="0" w:before="0"/>
      </w:pPr>
      <w:r>
        <w:t xml:space="preserve"/>
      </w:r>
    </w:p>
    <w:p>
      <w:pPr>
        <w:pStyle w:val="Heading1"/>
        <w:pageBreakBefore/>
        <w:shd w:fill="1B4F72" w:val="clear"/>
        <w:spacing w:after="160" w:before="0"/>
        <w:ind w:left="200" w:right="200"/>
      </w:pPr>
      <w:r>
        <w:rPr>
          <w:rFonts w:ascii="Arial" w:cs="Arial" w:eastAsia="Arial" w:hAnsi="Arial"/>
          <w:b/>
          <w:bCs/>
          <w:color w:val="FFFFFF"/>
          <w:sz w:val="32"/>
          <w:szCs w:val="32"/>
        </w:rPr>
        <w:t xml:space="preserve">三、五名锅炉工劳动合同分析</w:t>
      </w:r>
    </w:p>
    <w:p>
      <w:pPr>
        <w:spacing w:after="80" w:before="80" w:line="320"/>
        <w:jc w:val="left"/>
      </w:pPr>
      <w:r>
        <w:rPr>
          <w:rFonts w:ascii="Arial" w:cs="Arial" w:eastAsia="Arial" w:hAnsi="Arial"/>
          <w:b w:val="false"/>
          <w:bCs w:val="false"/>
          <w:i w:val="false"/>
          <w:iCs w:val="false"/>
          <w:color w:val="1A1A1A"/>
          <w:sz w:val="20"/>
          <w:szCs w:val="20"/>
        </w:rPr>
        <w:t xml:space="preserve">被告提交的五份合同，甲方（用人方）均为"上海世纪商务大厦物业管理有限公司"，证明这批人员是被告的正式雇员，而非外包或外聘人员。</w:t>
      </w:r>
    </w:p>
    <w:p>
      <w:pPr>
        <w:spacing w:after="0" w:before="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400"/>
        <w:gridCol w:w="2200"/>
        <w:gridCol w:w="1706"/>
      </w:tblGrid>
      <w:tr>
        <w:trPr>
          <w:tblHeader/>
        </w:trPr>
        <w:tc>
          <w:tcPr>
            <w:tcW w:type="dxa" w:w="10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姓名</w:t>
            </w:r>
          </w:p>
        </w:tc>
        <w:tc>
          <w:tcPr>
            <w:tcW w:type="dxa" w:w="22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合同类型</w:t>
            </w:r>
          </w:p>
        </w:tc>
        <w:tc>
          <w:tcPr>
            <w:tcW w:type="dxa" w:w="24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岗位归属</w:t>
            </w:r>
          </w:p>
        </w:tc>
        <w:tc>
          <w:tcPr>
            <w:tcW w:type="dxa" w:w="22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薪资区间</w:t>
            </w:r>
          </w:p>
        </w:tc>
        <w:tc>
          <w:tcPr>
            <w:tcW w:type="dxa" w:w="1706"/>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合同期限</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马春生</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劳务合同变更协议（多次续签）</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未明示岗位名称</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月薪约5,700–6,500元</w:t>
            </w:r>
          </w:p>
        </w:tc>
        <w:tc>
          <w:tcPr>
            <w:tcW w:type="dxa" w:w="17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最新期至2025-1-31</w:t>
            </w:r>
          </w:p>
        </w:tc>
      </w:tr>
      <w:tr>
        <w:tc>
          <w:tcPr>
            <w:tcW w:type="dxa" w:w="10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王贵阳</w:t>
            </w:r>
          </w:p>
        </w:tc>
        <w:tc>
          <w:tcPr>
            <w:tcW w:type="dxa" w:w="22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劳动/劳务合同变更协议</w:t>
            </w:r>
          </w:p>
        </w:tc>
        <w:tc>
          <w:tcPr>
            <w:tcW w:type="dxa" w:w="24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未明示岗位名称</w:t>
            </w:r>
          </w:p>
        </w:tc>
        <w:tc>
          <w:tcPr>
            <w:tcW w:type="dxa" w:w="22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月薪约6,000–9,300元</w:t>
            </w:r>
          </w:p>
        </w:tc>
        <w:tc>
          <w:tcPr>
            <w:tcW w:type="dxa" w:w="1706"/>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2011-5-29至2025-5-31（14年）</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王文乾</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劳务协议书</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水电工</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合同约定4,100–4,700元；实发5,700–6,562元</w:t>
            </w:r>
          </w:p>
        </w:tc>
        <w:tc>
          <w:tcPr>
            <w:tcW w:type="dxa" w:w="17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2021-5-27至2024-5-31</w:t>
            </w:r>
          </w:p>
        </w:tc>
      </w:tr>
      <w:tr>
        <w:tc>
          <w:tcPr>
            <w:tcW w:type="dxa" w:w="10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A1A1A"/>
                <w:sz w:val="19"/>
                <w:szCs w:val="19"/>
              </w:rPr>
              <w:t xml:space="preserve">张标</w:t>
            </w:r>
          </w:p>
        </w:tc>
        <w:tc>
          <w:tcPr>
            <w:tcW w:type="dxa" w:w="22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A1A1A"/>
                <w:sz w:val="19"/>
                <w:szCs w:val="19"/>
              </w:rPr>
              <w:t xml:space="preserve">劳动合同书</w:t>
            </w:r>
          </w:p>
        </w:tc>
        <w:tc>
          <w:tcPr>
            <w:tcW w:type="dxa" w:w="24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A1A1A"/>
                <w:sz w:val="19"/>
                <w:szCs w:val="19"/>
              </w:rPr>
              <w:t xml:space="preserve">水电工（工程维修中心）/夜间水电工</w:t>
            </w:r>
          </w:p>
        </w:tc>
        <w:tc>
          <w:tcPr>
            <w:tcW w:type="dxa" w:w="22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4,800–5,400元+500餐补+3,500夜班费</w:t>
            </w:r>
          </w:p>
        </w:tc>
        <w:tc>
          <w:tcPr>
            <w:tcW w:type="dxa" w:w="1706"/>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2024-6-11至2026-6-30</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A1A1A"/>
                <w:sz w:val="19"/>
                <w:szCs w:val="19"/>
              </w:rPr>
              <w:t xml:space="preserve">张译元</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A1A1A"/>
                <w:sz w:val="19"/>
                <w:szCs w:val="19"/>
              </w:rPr>
              <w:t xml:space="preserve">劳动合同书</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A1A1A"/>
                <w:sz w:val="19"/>
                <w:szCs w:val="19"/>
              </w:rPr>
              <w:t xml:space="preserve">水电工（工程维修中心）</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4,500–5,100元+300餐补</w:t>
            </w:r>
          </w:p>
        </w:tc>
        <w:tc>
          <w:tcPr>
            <w:tcW w:type="dxa" w:w="17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2021-10-11至2025-10-31</w:t>
            </w:r>
          </w:p>
        </w:tc>
      </w:tr>
    </w:tbl>
    <w:p>
      <w:pPr>
        <w:spacing w:after="0" w:before="0"/>
      </w:pPr>
      <w:r>
        <w:t xml:space="preserve"/>
      </w:r>
    </w:p>
    <w:tbl>
      <w:tblPr>
        <w:tblW w:type="dxa" w:w="9506"/>
        <w:tblBorders>
          <w:top w:val="single" w:color="1B4F72" w:sz="12"/>
          <w:left w:val="single" w:color="1B4F72" w:sz="12"/>
          <w:bottom w:val="single" w:color="1B4F72" w:sz="4"/>
          <w:right w:val="single" w:color="1B4F72"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D6EAF8" w:val="clear"/>
            <w:tcMar>
              <w:top w:type="dxa" w:w="100"/>
              <w:left w:type="dxa" w:w="160"/>
              <w:bottom w:type="dxa" w:w="100"/>
              <w:right w:type="dxa" w:w="160"/>
            </w:tcMar>
          </w:tcPr>
          <w:p>
            <w:pPr>
              <w:spacing w:after="60" w:before="0"/>
            </w:pPr>
            <w:r>
              <w:rPr>
                <w:rFonts w:ascii="Arial" w:cs="Arial" w:eastAsia="Arial" w:hAnsi="Arial"/>
                <w:b/>
                <w:bCs/>
                <w:color w:val="1B4F72"/>
                <w:sz w:val="20"/>
                <w:szCs w:val="20"/>
              </w:rPr>
              <w:t xml:space="preserve">关键发现：</w:t>
            </w:r>
          </w:p>
          <w:p>
            <w:pPr>
              <w:spacing w:after="20" w:before="0" w:line="300"/>
            </w:pPr>
            <w:r>
              <w:rPr>
                <w:rFonts w:ascii="Arial" w:cs="Arial" w:eastAsia="Arial" w:hAnsi="Arial"/>
                <w:color w:val="1A1A1A"/>
                <w:sz w:val="19"/>
                <w:szCs w:val="19"/>
              </w:rPr>
              <w:t xml:space="preserve">张标、张译元合同明确标注单位"工程维修中心"、岗位"水电工"——工程维修中心是物业管理部门的下设单位，而非独立热水服务机构。五人甲方均为被告，无一例外，排除任何外包安排。</w:t>
            </w:r>
          </w:p>
        </w:tc>
      </w:tr>
    </w:tbl>
    <w:p>
      <w:pPr>
        <w:spacing w:after="0" w:before="0"/>
      </w:pPr>
      <w:r>
        <w:t xml:space="preserve"/>
      </w:r>
    </w:p>
    <w:p>
      <w:pPr>
        <w:pStyle w:val="Heading1"/>
        <w:pageBreakBefore/>
        <w:shd w:fill="1B4F72" w:val="clear"/>
        <w:spacing w:after="160" w:before="0"/>
        <w:ind w:left="200" w:right="200"/>
      </w:pPr>
      <w:r>
        <w:rPr>
          <w:rFonts w:ascii="Arial" w:cs="Arial" w:eastAsia="Arial" w:hAnsi="Arial"/>
          <w:b/>
          <w:bCs/>
          <w:color w:val="FFFFFF"/>
          <w:sz w:val="32"/>
          <w:szCs w:val="32"/>
        </w:rPr>
        <w:t xml:space="preserve">四、薪资表数据分析</w:t>
      </w:r>
    </w:p>
    <w:p>
      <w:pPr>
        <w:pStyle w:val="Heading2"/>
        <w:pBdr>
          <w:bottom w:val="single" w:color="1B4F72" w:sz="4"/>
        </w:pBdr>
        <w:spacing w:after="100" w:before="240"/>
      </w:pPr>
      <w:r>
        <w:rPr>
          <w:rFonts w:ascii="Arial" w:cs="Arial" w:eastAsia="Arial" w:hAnsi="Arial"/>
          <w:b/>
          <w:bCs/>
          <w:color w:val="1B4F72"/>
          <w:sz w:val="26"/>
          <w:szCs w:val="26"/>
        </w:rPr>
        <w:t xml:space="preserve">4.1 2022年度个税申报表（法定申报文件）</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400"/>
        <w:gridCol w:w="2400"/>
        <w:gridCol w:w="2506"/>
      </w:tblGrid>
      <w:tr>
        <w:trPr>
          <w:tblHeader/>
        </w:trPr>
        <w:tc>
          <w:tcPr>
            <w:tcW w:type="dxa" w:w="12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姓名</w:t>
            </w:r>
          </w:p>
        </w:tc>
        <w:tc>
          <w:tcPr>
            <w:tcW w:type="dxa" w:w="20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全年收入合计</w:t>
            </w:r>
          </w:p>
        </w:tc>
        <w:tc>
          <w:tcPr>
            <w:tcW w:type="dxa" w:w="14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年终奖</w:t>
            </w:r>
          </w:p>
        </w:tc>
        <w:tc>
          <w:tcPr>
            <w:tcW w:type="dxa" w:w="24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专项扣除（社保公积金）</w:t>
            </w:r>
          </w:p>
        </w:tc>
        <w:tc>
          <w:tcPr>
            <w:tcW w:type="dxa" w:w="2506"/>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备注</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张译元</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154,815.50元</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2,100元</w:t>
            </w:r>
          </w:p>
        </w:tc>
        <w:tc>
          <w:tcPr>
            <w:tcW w:type="dxa" w:w="24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E8449"/>
                <w:sz w:val="19"/>
                <w:szCs w:val="19"/>
              </w:rPr>
              <w:t xml:space="preserve">12,647.80元（有社保）</w:t>
            </w:r>
          </w:p>
        </w:tc>
        <w:tc>
          <w:tcPr>
            <w:tcW w:type="dxa" w:w="25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工号439，工程维修中心水电工</w:t>
            </w:r>
          </w:p>
        </w:tc>
      </w:tr>
      <w:tr>
        <w:tc>
          <w:tcPr>
            <w:tcW w:type="dxa" w:w="12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王文乾</w:t>
            </w:r>
          </w:p>
        </w:tc>
        <w:tc>
          <w:tcPr>
            <w:tcW w:type="dxa" w:w="20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80,449.90元</w:t>
            </w:r>
          </w:p>
        </w:tc>
        <w:tc>
          <w:tcPr>
            <w:tcW w:type="dxa" w:w="14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0元</w:t>
            </w:r>
          </w:p>
        </w:tc>
        <w:tc>
          <w:tcPr>
            <w:tcW w:type="dxa" w:w="24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922B21"/>
                <w:sz w:val="19"/>
                <w:szCs w:val="19"/>
              </w:rPr>
              <w:t xml:space="preserve">0元（无社保）</w:t>
            </w:r>
          </w:p>
        </w:tc>
        <w:tc>
          <w:tcPr>
            <w:tcW w:type="dxa" w:w="2506"/>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工号438，劳务用工</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马春生</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74,583.10元</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8,200元</w:t>
            </w:r>
          </w:p>
        </w:tc>
        <w:tc>
          <w:tcPr>
            <w:tcW w:type="dxa" w:w="24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922B21"/>
                <w:sz w:val="19"/>
                <w:szCs w:val="19"/>
              </w:rPr>
              <w:t xml:space="preserve">0元（无社保）</w:t>
            </w:r>
          </w:p>
        </w:tc>
        <w:tc>
          <w:tcPr>
            <w:tcW w:type="dxa" w:w="25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工号437，劳务用工</w:t>
            </w:r>
          </w:p>
        </w:tc>
      </w:tr>
      <w:tr>
        <w:tc>
          <w:tcPr>
            <w:tcW w:type="dxa" w:w="12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A1A1A"/>
                <w:sz w:val="19"/>
                <w:szCs w:val="19"/>
              </w:rPr>
              <w:t xml:space="preserve">三人合计</w:t>
            </w:r>
          </w:p>
        </w:tc>
        <w:tc>
          <w:tcPr>
            <w:tcW w:type="dxa" w:w="20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A1A1A"/>
                <w:sz w:val="19"/>
                <w:szCs w:val="19"/>
              </w:rPr>
              <w:t xml:space="preserve">320,148.50元</w:t>
            </w:r>
          </w:p>
        </w:tc>
        <w:tc>
          <w:tcPr>
            <w:tcW w:type="dxa" w:w="14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A1A1A"/>
                <w:sz w:val="19"/>
                <w:szCs w:val="19"/>
              </w:rPr>
              <w:t xml:space="preserve">10,300元</w:t>
            </w:r>
          </w:p>
        </w:tc>
        <w:tc>
          <w:tcPr>
            <w:tcW w:type="dxa" w:w="24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
            </w:r>
          </w:p>
        </w:tc>
        <w:tc>
          <w:tcPr>
            <w:tcW w:type="dxa" w:w="2506"/>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向税务机关申报，被告无法否认</w:t>
            </w:r>
          </w:p>
        </w:tc>
      </w:tr>
    </w:tbl>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4.2 2023年度个税申报表</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400"/>
        <w:gridCol w:w="2400"/>
        <w:gridCol w:w="2506"/>
      </w:tblGrid>
      <w:tr>
        <w:trPr>
          <w:tblHeader/>
        </w:trPr>
        <w:tc>
          <w:tcPr>
            <w:tcW w:type="dxa" w:w="12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姓名</w:t>
            </w:r>
          </w:p>
        </w:tc>
        <w:tc>
          <w:tcPr>
            <w:tcW w:type="dxa" w:w="20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全年收入合计</w:t>
            </w:r>
          </w:p>
        </w:tc>
        <w:tc>
          <w:tcPr>
            <w:tcW w:type="dxa" w:w="14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年终奖</w:t>
            </w:r>
          </w:p>
        </w:tc>
        <w:tc>
          <w:tcPr>
            <w:tcW w:type="dxa" w:w="24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专项扣除（社保公积金）</w:t>
            </w:r>
          </w:p>
        </w:tc>
        <w:tc>
          <w:tcPr>
            <w:tcW w:type="dxa" w:w="2506"/>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备注</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张译元</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148,813.80元</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9,200元</w:t>
            </w:r>
          </w:p>
        </w:tc>
        <w:tc>
          <w:tcPr>
            <w:tcW w:type="dxa" w:w="24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E8449"/>
                <w:sz w:val="19"/>
                <w:szCs w:val="19"/>
              </w:rPr>
              <w:t xml:space="preserve">17,850.25元（有社保）</w:t>
            </w:r>
          </w:p>
        </w:tc>
        <w:tc>
          <w:tcPr>
            <w:tcW w:type="dxa" w:w="25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
            </w:r>
          </w:p>
        </w:tc>
      </w:tr>
      <w:tr>
        <w:tc>
          <w:tcPr>
            <w:tcW w:type="dxa" w:w="12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王文乾</w:t>
            </w:r>
          </w:p>
        </w:tc>
        <w:tc>
          <w:tcPr>
            <w:tcW w:type="dxa" w:w="20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78,705.40元</w:t>
            </w:r>
          </w:p>
        </w:tc>
        <w:tc>
          <w:tcPr>
            <w:tcW w:type="dxa" w:w="14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8,200元</w:t>
            </w:r>
          </w:p>
        </w:tc>
        <w:tc>
          <w:tcPr>
            <w:tcW w:type="dxa" w:w="24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922B21"/>
                <w:sz w:val="19"/>
                <w:szCs w:val="19"/>
              </w:rPr>
              <w:t xml:space="preserve">0元（无社保）</w:t>
            </w:r>
          </w:p>
        </w:tc>
        <w:tc>
          <w:tcPr>
            <w:tcW w:type="dxa" w:w="2506"/>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马春生</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78,844.70元</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8,200元</w:t>
            </w:r>
          </w:p>
        </w:tc>
        <w:tc>
          <w:tcPr>
            <w:tcW w:type="dxa" w:w="24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922B21"/>
                <w:sz w:val="19"/>
                <w:szCs w:val="19"/>
              </w:rPr>
              <w:t xml:space="preserve">0元（无社保）</w:t>
            </w:r>
          </w:p>
        </w:tc>
        <w:tc>
          <w:tcPr>
            <w:tcW w:type="dxa" w:w="25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
            </w:r>
          </w:p>
        </w:tc>
      </w:tr>
      <w:tr>
        <w:tc>
          <w:tcPr>
            <w:tcW w:type="dxa" w:w="12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A1A1A"/>
                <w:sz w:val="19"/>
                <w:szCs w:val="19"/>
              </w:rPr>
              <w:t xml:space="preserve">三人合计</w:t>
            </w:r>
          </w:p>
        </w:tc>
        <w:tc>
          <w:tcPr>
            <w:tcW w:type="dxa" w:w="20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A1A1A"/>
                <w:sz w:val="19"/>
                <w:szCs w:val="19"/>
              </w:rPr>
              <w:t xml:space="preserve">331,963.90元</w:t>
            </w:r>
          </w:p>
        </w:tc>
        <w:tc>
          <w:tcPr>
            <w:tcW w:type="dxa" w:w="14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A1A1A"/>
                <w:sz w:val="19"/>
                <w:szCs w:val="19"/>
              </w:rPr>
              <w:t xml:space="preserve">25,600元</w:t>
            </w:r>
          </w:p>
        </w:tc>
        <w:tc>
          <w:tcPr>
            <w:tcW w:type="dxa" w:w="24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
            </w:r>
          </w:p>
        </w:tc>
        <w:tc>
          <w:tcPr>
            <w:tcW w:type="dxa" w:w="2506"/>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
            </w:r>
          </w:p>
        </w:tc>
      </w:tr>
    </w:tbl>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4.3 2018-2024年热水成本分摊表：历年人工成本与总支出</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600"/>
        <w:gridCol w:w="1600"/>
        <w:gridCol w:w="1600"/>
        <w:gridCol w:w="2806"/>
      </w:tblGrid>
      <w:tr>
        <w:trPr>
          <w:tblHeader/>
        </w:trPr>
        <w:tc>
          <w:tcPr>
            <w:tcW w:type="dxa" w:w="9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年份</w:t>
            </w:r>
          </w:p>
        </w:tc>
        <w:tc>
          <w:tcPr>
            <w:tcW w:type="dxa" w:w="10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热水单价</w:t>
            </w:r>
          </w:p>
        </w:tc>
        <w:tc>
          <w:tcPr>
            <w:tcW w:type="dxa" w:w="16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人工成本</w:t>
            </w:r>
          </w:p>
        </w:tc>
        <w:tc>
          <w:tcPr>
            <w:tcW w:type="dxa" w:w="16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总支出</w:t>
            </w:r>
          </w:p>
        </w:tc>
        <w:tc>
          <w:tcPr>
            <w:tcW w:type="dxa" w:w="16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人工占总支出</w:t>
            </w:r>
          </w:p>
        </w:tc>
        <w:tc>
          <w:tcPr>
            <w:tcW w:type="dxa" w:w="2806"/>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人工占热水收入</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2018</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39元</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274,159元</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1,293,754元</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21.2%</w:t>
            </w:r>
          </w:p>
        </w:tc>
        <w:tc>
          <w:tcPr>
            <w:tcW w:type="dxa" w:w="28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25.5%</w:t>
            </w:r>
          </w:p>
        </w:tc>
      </w:tr>
      <w:tr>
        <w:tc>
          <w:tcPr>
            <w:tcW w:type="dxa" w:w="9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2019</w:t>
            </w:r>
          </w:p>
        </w:tc>
        <w:tc>
          <w:tcPr>
            <w:tcW w:type="dxa" w:w="10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39元</w:t>
            </w:r>
          </w:p>
        </w:tc>
        <w:tc>
          <w:tcPr>
            <w:tcW w:type="dxa" w:w="16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355,783元</w:t>
            </w:r>
          </w:p>
        </w:tc>
        <w:tc>
          <w:tcPr>
            <w:tcW w:type="dxa" w:w="16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1,359,851元</w:t>
            </w:r>
          </w:p>
        </w:tc>
        <w:tc>
          <w:tcPr>
            <w:tcW w:type="dxa" w:w="16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26.2%</w:t>
            </w:r>
          </w:p>
        </w:tc>
        <w:tc>
          <w:tcPr>
            <w:tcW w:type="dxa" w:w="2806"/>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34.1%</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2020</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39元</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365,832元</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926,368元</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39.5%</w:t>
            </w:r>
          </w:p>
        </w:tc>
        <w:tc>
          <w:tcPr>
            <w:tcW w:type="dxa" w:w="28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39.8%</w:t>
            </w:r>
          </w:p>
        </w:tc>
      </w:tr>
      <w:tr>
        <w:tc>
          <w:tcPr>
            <w:tcW w:type="dxa" w:w="9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2021</w:t>
            </w:r>
          </w:p>
        </w:tc>
        <w:tc>
          <w:tcPr>
            <w:tcW w:type="dxa" w:w="10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39元</w:t>
            </w:r>
          </w:p>
        </w:tc>
        <w:tc>
          <w:tcPr>
            <w:tcW w:type="dxa" w:w="16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389,169元</w:t>
            </w:r>
          </w:p>
        </w:tc>
        <w:tc>
          <w:tcPr>
            <w:tcW w:type="dxa" w:w="16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1,050,468元</w:t>
            </w:r>
          </w:p>
        </w:tc>
        <w:tc>
          <w:tcPr>
            <w:tcW w:type="dxa" w:w="16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37.0%</w:t>
            </w:r>
          </w:p>
        </w:tc>
        <w:tc>
          <w:tcPr>
            <w:tcW w:type="dxa" w:w="2806"/>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40.8%</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A1A1A"/>
                <w:sz w:val="19"/>
                <w:szCs w:val="19"/>
              </w:rPr>
              <w:t xml:space="preserve">2022</w:t>
            </w:r>
          </w:p>
        </w:tc>
        <w:tc>
          <w:tcPr>
            <w:tcW w:type="dxa" w:w="10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922B21"/>
                <w:sz w:val="19"/>
                <w:szCs w:val="19"/>
              </w:rPr>
              <w:t xml:space="preserve">42元↑</w:t>
            </w:r>
          </w:p>
        </w:tc>
        <w:tc>
          <w:tcPr>
            <w:tcW w:type="dxa" w:w="16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922B21"/>
                <w:sz w:val="19"/>
                <w:szCs w:val="19"/>
              </w:rPr>
              <w:t xml:space="preserve">344,663元↓</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1,112,123元</w:t>
            </w:r>
          </w:p>
        </w:tc>
        <w:tc>
          <w:tcPr>
            <w:tcW w:type="dxa" w:w="16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922B21"/>
                <w:sz w:val="19"/>
                <w:szCs w:val="19"/>
              </w:rPr>
              <w:t xml:space="preserve">31.0%</w:t>
            </w:r>
          </w:p>
        </w:tc>
        <w:tc>
          <w:tcPr>
            <w:tcW w:type="dxa" w:w="28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37.6%</w:t>
            </w:r>
          </w:p>
        </w:tc>
      </w:tr>
      <w:tr>
        <w:tc>
          <w:tcPr>
            <w:tcW w:type="dxa" w:w="9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2023</w:t>
            </w:r>
          </w:p>
        </w:tc>
        <w:tc>
          <w:tcPr>
            <w:tcW w:type="dxa" w:w="10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42元</w:t>
            </w:r>
          </w:p>
        </w:tc>
        <w:tc>
          <w:tcPr>
            <w:tcW w:type="dxa" w:w="16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367,543元</w:t>
            </w:r>
          </w:p>
        </w:tc>
        <w:tc>
          <w:tcPr>
            <w:tcW w:type="dxa" w:w="16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1,103,458元</w:t>
            </w:r>
          </w:p>
        </w:tc>
        <w:tc>
          <w:tcPr>
            <w:tcW w:type="dxa" w:w="16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33.3%</w:t>
            </w:r>
          </w:p>
        </w:tc>
        <w:tc>
          <w:tcPr>
            <w:tcW w:type="dxa" w:w="2806"/>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40.7%</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2024</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42元</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307,499元</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1,048,036元</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29.3%</w:t>
            </w:r>
          </w:p>
        </w:tc>
        <w:tc>
          <w:tcPr>
            <w:tcW w:type="dxa" w:w="28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34.8%</w:t>
            </w:r>
          </w:p>
        </w:tc>
      </w:tr>
    </w:tbl>
    <w:p>
      <w:pPr>
        <w:spacing w:after="0" w:before="0"/>
      </w:pPr>
      <w:r>
        <w:t xml:space="preserve"/>
      </w:r>
    </w:p>
    <w:p>
      <w:pPr>
        <w:spacing w:after="80" w:before="80" w:line="320"/>
        <w:jc w:val="left"/>
      </w:pPr>
      <w:r>
        <w:rPr>
          <w:rFonts w:ascii="Arial" w:cs="Arial" w:eastAsia="Arial" w:hAnsi="Arial"/>
          <w:b w:val="false"/>
          <w:bCs w:val="false"/>
          <w:i w:val="false"/>
          <w:iCs w:val="false"/>
          <w:color w:val="1A1A1A"/>
          <w:sz w:val="20"/>
          <w:szCs w:val="20"/>
        </w:rPr>
        <w:t xml:space="preserve">人工成本是热水费总支出的第一大项，7年间占总支出21%至40%，占热水收入25%至41%。这意味着被告"热水运营整体亏损"的叙事，在剥离人工费（该部分应由物业费覆盖）后，将大幅改变。</w:t>
      </w:r>
    </w:p>
    <w:p>
      <w:pPr>
        <w:spacing w:after="0" w:before="0"/>
      </w:pPr>
      <w:r>
        <w:t xml:space="preserve"/>
      </w:r>
    </w:p>
    <w:p>
      <w:pPr>
        <w:pStyle w:val="Heading1"/>
        <w:pageBreakBefore/>
        <w:shd w:fill="1B4F72" w:val="clear"/>
        <w:spacing w:after="160" w:before="0"/>
        <w:ind w:left="200" w:right="200"/>
      </w:pPr>
      <w:r>
        <w:rPr>
          <w:rFonts w:ascii="Arial" w:cs="Arial" w:eastAsia="Arial" w:hAnsi="Arial"/>
          <w:b/>
          <w:bCs/>
          <w:color w:val="FFFFFF"/>
          <w:sz w:val="32"/>
          <w:szCs w:val="32"/>
        </w:rPr>
        <w:t xml:space="preserve">五、关键合同条款逐条援引</w:t>
      </w:r>
    </w:p>
    <w:p>
      <w:pPr>
        <w:pStyle w:val="Heading2"/>
        <w:pBdr>
          <w:bottom w:val="single" w:color="1B4F72" w:sz="4"/>
        </w:pBdr>
        <w:spacing w:after="100" w:before="240"/>
      </w:pPr>
      <w:r>
        <w:rPr>
          <w:rFonts w:ascii="Arial" w:cs="Arial" w:eastAsia="Arial" w:hAnsi="Arial"/>
          <w:b/>
          <w:bCs/>
          <w:color w:val="1B4F72"/>
          <w:sz w:val="26"/>
          <w:szCs w:val="26"/>
        </w:rPr>
        <w:t xml:space="preserve">5.1 国家部委规定（最高层级）</w:t>
      </w:r>
    </w:p>
    <w:p>
      <w:pPr>
        <w:spacing w:after="80" w:before="80" w:line="320"/>
        <w:jc w:val="left"/>
      </w:pPr>
      <w:r>
        <w:rPr>
          <w:rFonts w:ascii="Arial" w:cs="Arial" w:eastAsia="Arial" w:hAnsi="Arial"/>
          <w:b w:val="false"/>
          <w:bCs w:val="false"/>
          <w:i w:val="false"/>
          <w:iCs w:val="false"/>
          <w:color w:val="1A1A1A"/>
          <w:sz w:val="20"/>
          <w:szCs w:val="20"/>
        </w:rPr>
        <w:t xml:space="preserve">国家发改委、建设部《物业服务收费管理办法》第十一条明确规定，物业服务成本构成第一项为：</w:t>
      </w:r>
    </w:p>
    <w:p>
      <w:pPr>
        <w:pBdr>
          <w:left w:val="single" w:color="1B4F72" w:sz="12"/>
        </w:pBdr>
        <w:shd w:fill="F8FAFC" w:val="clear"/>
        <w:spacing w:after="80" w:before="80" w:line="300"/>
        <w:ind w:left="600" w:right="400"/>
      </w:pPr>
      <w:r>
        <w:rPr>
          <w:rFonts w:ascii="Arial" w:cs="Arial" w:eastAsia="Arial" w:hAnsi="Arial"/>
          <w:i/>
          <w:iCs/>
          <w:color w:val="444444"/>
          <w:sz w:val="19"/>
          <w:szCs w:val="19"/>
        </w:rPr>
        <w:t xml:space="preserve">"管理服务人员的工资、社会保险和按规定提取的福利费等"</w:t>
      </w:r>
    </w:p>
    <w:p>
      <w:pPr>
        <w:spacing w:after="80" w:before="80" w:line="320"/>
        <w:jc w:val="left"/>
      </w:pPr>
      <w:r>
        <w:rPr>
          <w:rFonts w:ascii="Arial" w:cs="Arial" w:eastAsia="Arial" w:hAnsi="Arial"/>
          <w:b w:val="false"/>
          <w:bCs w:val="false"/>
          <w:i w:val="false"/>
          <w:iCs w:val="false"/>
          <w:color w:val="1A1A1A"/>
          <w:sz w:val="20"/>
          <w:szCs w:val="20"/>
        </w:rPr>
        <w:t xml:space="preserve">住建部政府解读文件明确："物业服务的成本包括保安、保洁、维修人员的工资"——即"管理服务人员"涵盖物业区域内全体服务岗位人员，包括设备操作类岗位，而非仅限行政管理人员。</w:t>
      </w:r>
    </w:p>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5.2 上海市地方规定（直接适用本案）</w:t>
      </w:r>
    </w:p>
    <w:p>
      <w:pPr>
        <w:spacing w:after="80" w:before="80" w:line="320"/>
        <w:jc w:val="left"/>
      </w:pPr>
      <w:r>
        <w:rPr>
          <w:rFonts w:ascii="Arial" w:cs="Arial" w:eastAsia="Arial" w:hAnsi="Arial"/>
          <w:b w:val="false"/>
          <w:bCs w:val="false"/>
          <w:i w:val="false"/>
          <w:iCs w:val="false"/>
          <w:color w:val="1A1A1A"/>
          <w:sz w:val="20"/>
          <w:szCs w:val="20"/>
        </w:rPr>
        <w:t xml:space="preserve">上海市住建委《关于住宅物业项目物业服务收费实行酬金制物业服务计费方式有关事项的通知》规定，物业服务支出构成第一项为：</w:t>
      </w:r>
    </w:p>
    <w:p>
      <w:pPr>
        <w:pBdr>
          <w:left w:val="single" w:color="1B4F72" w:sz="12"/>
        </w:pBdr>
        <w:shd w:fill="F8FAFC" w:val="clear"/>
        <w:spacing w:after="80" w:before="80" w:line="300"/>
        <w:ind w:left="600" w:right="400"/>
      </w:pPr>
      <w:r>
        <w:rPr>
          <w:rFonts w:ascii="Arial" w:cs="Arial" w:eastAsia="Arial" w:hAnsi="Arial"/>
          <w:i/>
          <w:iCs/>
          <w:color w:val="444444"/>
          <w:sz w:val="19"/>
          <w:szCs w:val="19"/>
        </w:rPr>
        <w:t xml:space="preserve">"管理服务人员的工资和社会保险、公积金、福利费等法律法规规定的相关费用"</w:t>
      </w:r>
    </w:p>
    <w:p>
      <w:pPr>
        <w:spacing w:after="80" w:before="80" w:line="320"/>
        <w:jc w:val="left"/>
      </w:pPr>
      <w:r>
        <w:rPr>
          <w:rFonts w:ascii="Arial" w:cs="Arial" w:eastAsia="Arial" w:hAnsi="Arial"/>
          <w:b w:val="false"/>
          <w:bCs w:val="false"/>
          <w:i w:val="false"/>
          <w:iCs w:val="false"/>
          <w:color w:val="1A1A1A"/>
          <w:sz w:val="20"/>
          <w:szCs w:val="20"/>
        </w:rPr>
        <w:t xml:space="preserve">该通知还明确规定：</w:t>
      </w:r>
    </w:p>
    <w:p>
      <w:pPr>
        <w:pBdr>
          <w:left w:val="single" w:color="1B4F72" w:sz="12"/>
        </w:pBdr>
        <w:shd w:fill="F8FAFC" w:val="clear"/>
        <w:spacing w:after="80" w:before="80" w:line="300"/>
        <w:ind w:left="600" w:right="400"/>
      </w:pPr>
      <w:r>
        <w:rPr>
          <w:rFonts w:ascii="Arial" w:cs="Arial" w:eastAsia="Arial" w:hAnsi="Arial"/>
          <w:i/>
          <w:iCs/>
          <w:color w:val="444444"/>
          <w:sz w:val="19"/>
          <w:szCs w:val="19"/>
        </w:rPr>
        <w:t xml:space="preserve">"物业服务企业不得将其用于物业服务合同约定以外的支出"</w:t>
      </w:r>
    </w:p>
    <w:p>
      <w:pPr>
        <w:spacing w:after="80" w:before="80" w:line="320"/>
        <w:jc w:val="left"/>
      </w:pPr>
      <w:r>
        <w:rPr>
          <w:rFonts w:ascii="Arial" w:cs="Arial" w:eastAsia="Arial" w:hAnsi="Arial"/>
          <w:b w:val="false"/>
          <w:bCs w:val="false"/>
          <w:i w:val="false"/>
          <w:iCs w:val="false"/>
          <w:color w:val="1A1A1A"/>
          <w:sz w:val="20"/>
          <w:szCs w:val="20"/>
        </w:rPr>
        <w:t xml:space="preserve">即：物业费中的人工成本专款专用，不得另立名目重复向业主收取。</w:t>
      </w:r>
    </w:p>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5.3 住户手册第三章：物业管理费支出项目</w:t>
      </w:r>
    </w:p>
    <w:p>
      <w:pPr>
        <w:pBdr>
          <w:left w:val="single" w:color="1B4F72" w:sz="12"/>
        </w:pBdr>
        <w:shd w:fill="F8FAFC" w:val="clear"/>
        <w:spacing w:after="80" w:before="80" w:line="300"/>
        <w:ind w:left="600" w:right="400"/>
      </w:pPr>
      <w:r>
        <w:rPr>
          <w:rFonts w:ascii="Arial" w:cs="Arial" w:eastAsia="Arial" w:hAnsi="Arial"/>
          <w:i/>
          <w:iCs/>
          <w:color w:val="444444"/>
          <w:sz w:val="19"/>
          <w:szCs w:val="19"/>
        </w:rPr>
        <w:t xml:space="preserve">"第2条：管理人员的工资、福利和政府综合险等费用"</w:t>
      </w:r>
    </w:p>
    <w:p>
      <w:pPr>
        <w:pBdr>
          <w:left w:val="single" w:color="1B4F72" w:sz="12"/>
        </w:pBdr>
        <w:shd w:fill="F8FAFC" w:val="clear"/>
        <w:spacing w:after="80" w:before="80" w:line="300"/>
        <w:ind w:left="600" w:right="400"/>
      </w:pPr>
      <w:r>
        <w:rPr>
          <w:rFonts w:ascii="Arial" w:cs="Arial" w:eastAsia="Arial" w:hAnsi="Arial"/>
          <w:i/>
          <w:iCs/>
          <w:color w:val="444444"/>
          <w:sz w:val="19"/>
          <w:szCs w:val="19"/>
        </w:rPr>
        <w:t xml:space="preserve">"第11条：共用设施设备的日常养护费用"</w:t>
      </w:r>
    </w:p>
    <w:p>
      <w:pPr>
        <w:spacing w:after="80" w:before="80" w:line="320"/>
        <w:jc w:val="left"/>
      </w:pPr>
      <w:r>
        <w:rPr>
          <w:rFonts w:ascii="Arial" w:cs="Arial" w:eastAsia="Arial" w:hAnsi="Arial"/>
          <w:b w:val="false"/>
          <w:bCs w:val="false"/>
          <w:i w:val="false"/>
          <w:iCs w:val="false"/>
          <w:color w:val="1A1A1A"/>
          <w:sz w:val="20"/>
          <w:szCs w:val="20"/>
        </w:rPr>
        <w:t xml:space="preserve">第2条已将"管理人员的工资"明确列为物业费的组成部分。锅炉工/水电工是物业管理人员，其工资天然落入此条；第11条"共用设施设备的日常养护"覆盖热水系统的日常维护工作，养护人员的人工成本亦包含其中。</w:t>
      </w:r>
    </w:p>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5.4 物业服务合同附件三：热水系统条款</w:t>
      </w:r>
    </w:p>
    <w:p>
      <w:pPr>
        <w:pBdr>
          <w:left w:val="single" w:color="1B4F72" w:sz="12"/>
        </w:pBdr>
        <w:shd w:fill="F8FAFC" w:val="clear"/>
        <w:spacing w:after="80" w:before="80" w:line="300"/>
        <w:ind w:left="600" w:right="400"/>
      </w:pPr>
      <w:r>
        <w:rPr>
          <w:rFonts w:ascii="Arial" w:cs="Arial" w:eastAsia="Arial" w:hAnsi="Arial"/>
          <w:i/>
          <w:iCs/>
          <w:color w:val="444444"/>
          <w:sz w:val="19"/>
          <w:szCs w:val="19"/>
        </w:rPr>
        <w:t xml:space="preserve">"热水系统：每年保养一次，保证二次供水正常，热水温度不低于40度，泵房整洁"</w:t>
      </w:r>
    </w:p>
    <w:p>
      <w:pPr>
        <w:spacing w:after="80" w:before="80" w:line="320"/>
        <w:jc w:val="left"/>
      </w:pPr>
      <w:r>
        <w:rPr>
          <w:rFonts w:ascii="Arial" w:cs="Arial" w:eastAsia="Arial" w:hAnsi="Arial"/>
          <w:b w:val="false"/>
          <w:bCs w:val="false"/>
          <w:i w:val="false"/>
          <w:iCs w:val="false"/>
          <w:color w:val="1A1A1A"/>
          <w:sz w:val="20"/>
          <w:szCs w:val="20"/>
        </w:rPr>
        <w:t xml:space="preserve">"保证"二字确立了结果义务。锅炉工日常值守、巡检、调温等工作均是履行该合同义务的必要手段，其人工成本是物业服务成本的组成部分，不应另立名目转嫁到热水费中。</w:t>
      </w:r>
    </w:p>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5.5 物业服务合同第三十一条（六）：共用设施设备定义</w:t>
      </w:r>
    </w:p>
    <w:p>
      <w:pPr>
        <w:pBdr>
          <w:left w:val="single" w:color="1B4F72" w:sz="12"/>
        </w:pBdr>
        <w:shd w:fill="F8FAFC" w:val="clear"/>
        <w:spacing w:after="80" w:before="80" w:line="300"/>
        <w:ind w:left="600" w:right="400"/>
      </w:pPr>
      <w:r>
        <w:rPr>
          <w:rFonts w:ascii="Arial" w:cs="Arial" w:eastAsia="Arial" w:hAnsi="Arial"/>
          <w:i/>
          <w:iCs/>
          <w:color w:val="444444"/>
          <w:sz w:val="19"/>
          <w:szCs w:val="19"/>
        </w:rPr>
        <w:t xml:space="preserve">"共用设施设备，是指：……由整幢住宅的业主、使用人共同使用的供水管道、排水管道……水箱、水泵……等设备"</w:t>
      </w:r>
    </w:p>
    <w:p>
      <w:pPr>
        <w:spacing w:after="80" w:before="80" w:line="320"/>
        <w:jc w:val="left"/>
      </w:pPr>
      <w:r>
        <w:rPr>
          <w:rFonts w:ascii="Arial" w:cs="Arial" w:eastAsia="Arial" w:hAnsi="Arial"/>
          <w:b w:val="false"/>
          <w:bCs w:val="false"/>
          <w:i w:val="false"/>
          <w:iCs w:val="false"/>
          <w:color w:val="1A1A1A"/>
          <w:sz w:val="20"/>
          <w:szCs w:val="20"/>
        </w:rPr>
        <w:t xml:space="preserve">热水系统中的水箱、水泵已被明文列入"共用设施设备"，因此其"日常养护"所产生的人工成本依合同当然归入物业费覆盖范围。</w:t>
      </w:r>
    </w:p>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5.6 物业服务合同第二十四条：违规收费救济条款</w:t>
      </w:r>
    </w:p>
    <w:p>
      <w:pPr>
        <w:pBdr>
          <w:left w:val="single" w:color="1B4F72" w:sz="12"/>
        </w:pBdr>
        <w:shd w:fill="F8FAFC" w:val="clear"/>
        <w:spacing w:after="80" w:before="80" w:line="300"/>
        <w:ind w:left="600" w:right="400"/>
      </w:pPr>
      <w:r>
        <w:rPr>
          <w:rFonts w:ascii="Arial" w:cs="Arial" w:eastAsia="Arial" w:hAnsi="Arial"/>
          <w:i/>
          <w:iCs/>
          <w:color w:val="444444"/>
          <w:sz w:val="19"/>
          <w:szCs w:val="19"/>
        </w:rPr>
        <w:t xml:space="preserve">"乙方违反本合同约定，擅自提高收费标准的，对超出标准的部分，业主有权拒绝支付；已经支付的，业主有权要求乙方双倍返还。"</w:t>
      </w:r>
    </w:p>
    <w:p>
      <w:pPr>
        <w:spacing w:after="80" w:before="80" w:line="320"/>
        <w:jc w:val="left"/>
      </w:pPr>
      <w:r>
        <w:rPr>
          <w:rFonts w:ascii="Arial" w:cs="Arial" w:eastAsia="Arial" w:hAnsi="Arial"/>
          <w:b w:val="false"/>
          <w:bCs w:val="false"/>
          <w:i w:val="false"/>
          <w:iCs w:val="false"/>
          <w:color w:val="1A1A1A"/>
          <w:sz w:val="20"/>
          <w:szCs w:val="20"/>
        </w:rPr>
        <w:t xml:space="preserve">将物业费已覆盖的人工成本另立名目计入热水费，属于"擅自提高收费标准"，满足本条"双倍返还"的适用条件。</w:t>
      </w:r>
    </w:p>
    <w:p>
      <w:pPr>
        <w:spacing w:after="0" w:before="0"/>
      </w:pPr>
      <w:r>
        <w:t xml:space="preserve"/>
      </w:r>
    </w:p>
    <w:p>
      <w:pPr>
        <w:pStyle w:val="Heading1"/>
        <w:pageBreakBefore/>
        <w:shd w:fill="1B4F72" w:val="clear"/>
        <w:spacing w:after="160" w:before="0"/>
        <w:ind w:left="200" w:right="200"/>
      </w:pPr>
      <w:r>
        <w:rPr>
          <w:rFonts w:ascii="Arial" w:cs="Arial" w:eastAsia="Arial" w:hAnsi="Arial"/>
          <w:b/>
          <w:bCs/>
          <w:color w:val="FFFFFF"/>
          <w:sz w:val="32"/>
          <w:szCs w:val="32"/>
        </w:rPr>
        <w:t xml:space="preserve">六、人工费重复收取完整论证链</w:t>
      </w:r>
    </w:p>
    <w:p>
      <w:pPr>
        <w:pStyle w:val="Heading2"/>
        <w:pBdr>
          <w:bottom w:val="single" w:color="1B4F72" w:sz="4"/>
        </w:pBdr>
        <w:spacing w:after="100" w:before="240"/>
      </w:pPr>
      <w:r>
        <w:rPr>
          <w:rFonts w:ascii="Arial" w:cs="Arial" w:eastAsia="Arial" w:hAnsi="Arial"/>
          <w:b/>
          <w:bCs/>
          <w:color w:val="1B4F72"/>
          <w:sz w:val="26"/>
          <w:szCs w:val="26"/>
        </w:rPr>
        <w:t xml:space="preserve">第一步：确认人员归属</w:t>
      </w:r>
    </w:p>
    <w:p>
      <w:pPr>
        <w:spacing w:after="80" w:before="80" w:line="320"/>
        <w:jc w:val="left"/>
      </w:pPr>
      <w:r>
        <w:rPr>
          <w:rFonts w:ascii="Arial" w:cs="Arial" w:eastAsia="Arial" w:hAnsi="Arial"/>
          <w:b w:val="false"/>
          <w:bCs w:val="false"/>
          <w:i w:val="false"/>
          <w:iCs w:val="false"/>
          <w:color w:val="1A1A1A"/>
          <w:sz w:val="20"/>
          <w:szCs w:val="20"/>
        </w:rPr>
        <w:t xml:space="preserve">【证据】五份劳动合同 + 薪资表 + 个税申报表</w:t>
      </w:r>
    </w:p>
    <w:p>
      <w:pPr>
        <w:spacing w:after="80" w:before="80" w:line="320"/>
        <w:jc w:val="left"/>
      </w:pPr>
      <w:r>
        <w:rPr>
          <w:rFonts w:ascii="Arial" w:cs="Arial" w:eastAsia="Arial" w:hAnsi="Arial"/>
          <w:b w:val="false"/>
          <w:bCs w:val="false"/>
          <w:i w:val="false"/>
          <w:iCs w:val="false"/>
          <w:color w:val="1A1A1A"/>
          <w:sz w:val="20"/>
          <w:szCs w:val="20"/>
        </w:rPr>
        <w:t xml:space="preserve">从事热水系统运营的人员（马春生、王贵阳、王文乾、张标、张译元）均由被告直接雇用，甲方均为"上海世纪商务大厦物业管理有限公司"，其中张标、张译元岗位归属"工程维修中心（水电工）"。个税申报表是向税务机关提交的法定文件，被告无法否认其中记载的薪资数据。</w:t>
      </w:r>
    </w:p>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第二步：确认物业费已明文覆盖人工成本</w:t>
      </w:r>
    </w:p>
    <w:p>
      <w:pPr>
        <w:spacing w:after="80" w:before="80" w:line="320"/>
        <w:jc w:val="left"/>
      </w:pPr>
      <w:r>
        <w:rPr>
          <w:rFonts w:ascii="Arial" w:cs="Arial" w:eastAsia="Arial" w:hAnsi="Arial"/>
          <w:b w:val="false"/>
          <w:bCs w:val="false"/>
          <w:i w:val="false"/>
          <w:iCs w:val="false"/>
          <w:color w:val="1A1A1A"/>
          <w:sz w:val="20"/>
          <w:szCs w:val="20"/>
        </w:rPr>
        <w:t xml:space="preserve">【证据】国家《物业服务收费管理办法》第十一条 + 上海市住建委酬金制通知 + 住户手册第三章</w:t>
      </w:r>
    </w:p>
    <w:p>
      <w:pPr>
        <w:spacing w:after="80" w:before="80" w:line="320"/>
        <w:jc w:val="left"/>
      </w:pPr>
      <w:r>
        <w:rPr>
          <w:rFonts w:ascii="Arial" w:cs="Arial" w:eastAsia="Arial" w:hAnsi="Arial"/>
          <w:b w:val="false"/>
          <w:bCs w:val="false"/>
          <w:i w:val="false"/>
          <w:iCs w:val="false"/>
          <w:color w:val="1A1A1A"/>
          <w:sz w:val="20"/>
          <w:szCs w:val="20"/>
        </w:rPr>
        <w:t xml:space="preserve">三层规定形成完整包围：国家部委规定→上海市规定→本案合同，均将"管理服务人员的工资"列为物业服务支出的第一项构成要素。</w:t>
      </w:r>
    </w:p>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第三步：确认锅炉工属于物业管理服务人员</w:t>
      </w:r>
    </w:p>
    <w:p>
      <w:pPr>
        <w:spacing w:after="80" w:before="80" w:line="320"/>
        <w:jc w:val="left"/>
      </w:pPr>
      <w:r>
        <w:rPr>
          <w:rFonts w:ascii="Arial" w:cs="Arial" w:eastAsia="Arial" w:hAnsi="Arial"/>
          <w:b w:val="false"/>
          <w:bCs w:val="false"/>
          <w:i w:val="false"/>
          <w:iCs w:val="false"/>
          <w:color w:val="1A1A1A"/>
          <w:sz w:val="20"/>
          <w:szCs w:val="20"/>
        </w:rPr>
        <w:t xml:space="preserve">【证据】劳动合同（甲方为物业公司）+ 工程维修中心岗位归属</w:t>
      </w:r>
    </w:p>
    <w:p>
      <w:pPr>
        <w:pStyle w:val="ListParagraph"/>
        <w:numPr>
          <w:ilvl w:val="0"/>
          <w:numId w:val="2"/>
        </w:numPr>
        <w:spacing w:after="40" w:before="40" w:line="300"/>
      </w:pPr>
      <w:r>
        <w:rPr>
          <w:rFonts w:ascii="Arial" w:cs="Arial" w:eastAsia="Arial" w:hAnsi="Arial"/>
          <w:color w:val="1A1A1A"/>
          <w:sz w:val="20"/>
          <w:szCs w:val="20"/>
        </w:rPr>
        <w:t xml:space="preserve">甲方是物业公司本身，不是独立热水服务实体</w:t>
      </w:r>
    </w:p>
    <w:p>
      <w:pPr>
        <w:pStyle w:val="ListParagraph"/>
        <w:numPr>
          <w:ilvl w:val="0"/>
          <w:numId w:val="2"/>
        </w:numPr>
        <w:spacing w:after="40" w:before="40" w:line="300"/>
      </w:pPr>
      <w:r>
        <w:rPr>
          <w:rFonts w:ascii="Arial" w:cs="Arial" w:eastAsia="Arial" w:hAnsi="Arial"/>
          <w:color w:val="1A1A1A"/>
          <w:sz w:val="20"/>
          <w:szCs w:val="20"/>
        </w:rPr>
        <w:t xml:space="preserve">岗位归属"工程维修中心"，这是物业管理部门的下设单位</w:t>
      </w:r>
    </w:p>
    <w:p>
      <w:pPr>
        <w:pStyle w:val="ListParagraph"/>
        <w:numPr>
          <w:ilvl w:val="0"/>
          <w:numId w:val="2"/>
        </w:numPr>
        <w:spacing w:after="40" w:before="40" w:line="300"/>
      </w:pPr>
      <w:r>
        <w:rPr>
          <w:rFonts w:ascii="Arial" w:cs="Arial" w:eastAsia="Arial" w:hAnsi="Arial"/>
          <w:color w:val="1A1A1A"/>
          <w:sz w:val="20"/>
          <w:szCs w:val="20"/>
        </w:rPr>
        <w:t xml:space="preserve">工作内容（设备操作、日常值守）与电梯安全员、消防控制室人员性质相同，均属设备操作岗</w:t>
      </w:r>
    </w:p>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第四步：排除热水费再次计入的合法依据</w:t>
      </w:r>
    </w:p>
    <w:p>
      <w:pPr>
        <w:spacing w:after="80" w:before="80" w:line="320"/>
        <w:jc w:val="left"/>
      </w:pPr>
      <w:r>
        <w:rPr>
          <w:rFonts w:ascii="Arial" w:cs="Arial" w:eastAsia="Arial" w:hAnsi="Arial"/>
          <w:b w:val="false"/>
          <w:bCs w:val="false"/>
          <w:i w:val="false"/>
          <w:iCs w:val="false"/>
          <w:color w:val="1A1A1A"/>
          <w:sz w:val="20"/>
          <w:szCs w:val="20"/>
        </w:rPr>
        <w:t xml:space="preserve">【证据】住户手册第四章原文 + 物业服务合同结构 + 德同评估报告</w:t>
      </w:r>
    </w:p>
    <w:p>
      <w:pPr>
        <w:pBdr>
          <w:left w:val="single" w:color="1B4F72" w:sz="12"/>
        </w:pBdr>
        <w:shd w:fill="F8FAFC" w:val="clear"/>
        <w:spacing w:after="80" w:before="80" w:line="300"/>
        <w:ind w:left="600" w:right="400"/>
      </w:pPr>
      <w:r>
        <w:rPr>
          <w:rFonts w:ascii="Arial" w:cs="Arial" w:eastAsia="Arial" w:hAnsi="Arial"/>
          <w:i/>
          <w:iCs/>
          <w:color w:val="444444"/>
          <w:sz w:val="19"/>
          <w:szCs w:val="19"/>
        </w:rPr>
        <w:t xml:space="preserve">"住户手册第四章原文："热水费单价由管理根据运行成本制定。"（关键词：运行成本，而非运营成本）"</w:t>
      </w:r>
    </w:p>
    <w:p>
      <w:pPr>
        <w:spacing w:after="80" w:before="80" w:line="320"/>
        <w:jc w:val="left"/>
      </w:pPr>
      <w:r>
        <w:rPr>
          <w:rFonts w:ascii="Arial" w:cs="Arial" w:eastAsia="Arial" w:hAnsi="Arial"/>
          <w:b w:val="false"/>
          <w:bCs w:val="false"/>
          <w:i w:val="false"/>
          <w:iCs w:val="false"/>
          <w:color w:val="1A1A1A"/>
          <w:sz w:val="20"/>
          <w:szCs w:val="20"/>
        </w:rPr>
        <w:t xml:space="preserve">《民法典》第498条赋予格式条款不利解释原则：住户手册由物业单方制定，对"运行成本"的内涵可作不利于物业的解释。以下从三个逻辑证明人工费不能被重复计入：</w:t>
      </w:r>
    </w:p>
    <w:p>
      <w:pPr>
        <w:spacing w:after="0" w:before="0"/>
      </w:pPr>
      <w:r>
        <w:t xml:space="preserve"/>
      </w:r>
    </w:p>
    <w:p>
      <w:pPr>
        <w:pStyle w:val="Heading3"/>
        <w:spacing w:after="80" w:before="180"/>
      </w:pPr>
      <w:r>
        <w:rPr>
          <w:rFonts w:ascii="Arial" w:cs="Arial" w:eastAsia="Arial" w:hAnsi="Arial"/>
          <w:b/>
          <w:bCs/>
          <w:color w:val="444444"/>
          <w:sz w:val="22"/>
          <w:szCs w:val="22"/>
        </w:rPr>
        <w:t xml:space="preserve">论点A：成本界定与双重支付是两个独立问题</w:t>
      </w:r>
    </w:p>
    <w:p>
      <w:pPr>
        <w:spacing w:after="80" w:before="80" w:line="320"/>
        <w:jc w:val="left"/>
      </w:pPr>
      <w:r>
        <w:rPr>
          <w:rFonts w:ascii="Arial" w:cs="Arial" w:eastAsia="Arial" w:hAnsi="Arial"/>
          <w:b w:val="false"/>
          <w:bCs w:val="false"/>
          <w:i w:val="false"/>
          <w:iCs w:val="false"/>
          <w:color w:val="1A1A1A"/>
          <w:sz w:val="20"/>
          <w:szCs w:val="20"/>
        </w:rPr>
        <w:t xml:space="preserve">无论"运行成本"是否包含人工，核心问题是：同一批人员的工资，不能在物业费中收一次、在热水费中再收一次。第四章回答的是热水费的计算方式，不回答同一人工成本是否已通过物业费被先行收取。</w:t>
      </w:r>
    </w:p>
    <w:p>
      <w:pPr>
        <w:spacing w:after="0" w:before="0"/>
      </w:pPr>
      <w:r>
        <w:t xml:space="preserve"/>
      </w:r>
    </w:p>
    <w:p>
      <w:pPr>
        <w:pStyle w:val="Heading3"/>
        <w:spacing w:after="80" w:before="180"/>
      </w:pPr>
      <w:r>
        <w:rPr>
          <w:rFonts w:ascii="Arial" w:cs="Arial" w:eastAsia="Arial" w:hAnsi="Arial"/>
          <w:b/>
          <w:bCs/>
          <w:color w:val="444444"/>
          <w:sz w:val="22"/>
          <w:szCs w:val="22"/>
        </w:rPr>
        <w:t xml:space="preserve">论点B：格式条款不利解释规则</w:t>
      </w:r>
    </w:p>
    <w:p>
      <w:pPr>
        <w:spacing w:after="80" w:before="80" w:line="320"/>
        <w:jc w:val="left"/>
      </w:pPr>
      <w:r>
        <w:rPr>
          <w:rFonts w:ascii="Arial" w:cs="Arial" w:eastAsia="Arial" w:hAnsi="Arial"/>
          <w:b w:val="false"/>
          <w:bCs w:val="false"/>
          <w:i w:val="false"/>
          <w:iCs w:val="false"/>
          <w:color w:val="1A1A1A"/>
          <w:sz w:val="20"/>
          <w:szCs w:val="20"/>
        </w:rPr>
        <w:t xml:space="preserve">住户手册是物业单方制定的格式文件，既非协商形成，亦无监管机构背书。《民法典》第498条：对格式条款有两种以上解释的，应作出不利于格式条款提供方的解释。物业无权援引自己制定的"运行成本"条款为将人工费计入热水费收取依据。</w:t>
      </w:r>
    </w:p>
    <w:p>
      <w:pPr>
        <w:spacing w:after="0" w:before="0"/>
      </w:pPr>
      <w:r>
        <w:t xml:space="preserve"/>
      </w:r>
    </w:p>
    <w:p>
      <w:pPr>
        <w:pStyle w:val="Heading3"/>
        <w:spacing w:after="80" w:before="180"/>
      </w:pPr>
      <w:r>
        <w:rPr>
          <w:rFonts w:ascii="Arial" w:cs="Arial" w:eastAsia="Arial" w:hAnsi="Arial"/>
          <w:b/>
          <w:bCs/>
          <w:color w:val="444444"/>
          <w:sz w:val="22"/>
          <w:szCs w:val="22"/>
        </w:rPr>
        <w:t xml:space="preserve">论点C：单方定价权不等于重复收取权</w:t>
      </w:r>
    </w:p>
    <w:p>
      <w:pPr>
        <w:spacing w:after="80" w:before="80" w:line="320"/>
        <w:jc w:val="left"/>
      </w:pPr>
      <w:r>
        <w:rPr>
          <w:rFonts w:ascii="Arial" w:cs="Arial" w:eastAsia="Arial" w:hAnsi="Arial"/>
          <w:b w:val="false"/>
          <w:bCs w:val="false"/>
          <w:i w:val="false"/>
          <w:iCs w:val="false"/>
          <w:color w:val="1A1A1A"/>
          <w:sz w:val="20"/>
          <w:szCs w:val="20"/>
        </w:rPr>
        <w:t xml:space="preserve">"由管理根据运行成本制定"仅赋予物业定价权，不授权将已由物业费承担的成本再次向业主收取。德同报告自身已将31,814.23元/月人工列为热水成本——被告自己的证据完成了闭环。</w:t>
      </w:r>
    </w:p>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第五步：物业合同确立热水运维属物业义务</w:t>
      </w:r>
    </w:p>
    <w:p>
      <w:pPr>
        <w:spacing w:after="80" w:before="80" w:line="320"/>
        <w:jc w:val="left"/>
      </w:pPr>
      <w:r>
        <w:rPr>
          <w:rFonts w:ascii="Arial" w:cs="Arial" w:eastAsia="Arial" w:hAnsi="Arial"/>
          <w:b w:val="false"/>
          <w:bCs w:val="false"/>
          <w:i w:val="false"/>
          <w:iCs w:val="false"/>
          <w:color w:val="1A1A1A"/>
          <w:sz w:val="20"/>
          <w:szCs w:val="20"/>
        </w:rPr>
        <w:t xml:space="preserve">【证据】物业服务合同附件三 + 第三十一条共用设施定义</w:t>
      </w:r>
    </w:p>
    <w:p>
      <w:pPr>
        <w:spacing w:after="80" w:before="80" w:line="320"/>
        <w:jc w:val="left"/>
      </w:pPr>
      <w:r>
        <w:rPr>
          <w:rFonts w:ascii="Arial" w:cs="Arial" w:eastAsia="Arial" w:hAnsi="Arial"/>
          <w:b w:val="false"/>
          <w:bCs w:val="false"/>
          <w:i w:val="false"/>
          <w:iCs w:val="false"/>
          <w:color w:val="1A1A1A"/>
          <w:sz w:val="20"/>
          <w:szCs w:val="20"/>
        </w:rPr>
        <w:t xml:space="preserve">附件三约定被告"保证热水温度不低于40度"，这是合同层面的结果义务。锅炉工的日常值守正是履行此义务的必要手段，其成本已内含于物业费承诺之中，被告不得对同一履约行为向业主二次收费。</w:t>
      </w:r>
    </w:p>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第六步：被告自委评估报告自证重复</w:t>
      </w:r>
    </w:p>
    <w:p>
      <w:pPr>
        <w:spacing w:after="80" w:before="80" w:line="320"/>
        <w:jc w:val="left"/>
      </w:pPr>
      <w:r>
        <w:rPr>
          <w:rFonts w:ascii="Arial" w:cs="Arial" w:eastAsia="Arial" w:hAnsi="Arial"/>
          <w:b w:val="false"/>
          <w:bCs w:val="false"/>
          <w:i w:val="false"/>
          <w:iCs w:val="false"/>
          <w:color w:val="1A1A1A"/>
          <w:sz w:val="20"/>
          <w:szCs w:val="20"/>
        </w:rPr>
        <w:t xml:space="preserve">【证据】德同咨询《热水系统第三方评估报告》（2025年1月8日）——被告自行委托</w:t>
      </w:r>
    </w:p>
    <w:p>
      <w:pPr>
        <w:spacing w:after="80" w:before="80" w:line="320"/>
        <w:jc w:val="left"/>
      </w:pPr>
      <w:r>
        <w:rPr>
          <w:rFonts w:ascii="Arial" w:cs="Arial" w:eastAsia="Arial" w:hAnsi="Arial"/>
          <w:b w:val="false"/>
          <w:bCs w:val="false"/>
          <w:i w:val="false"/>
          <w:iCs w:val="false"/>
          <w:color w:val="1A1A1A"/>
          <w:sz w:val="20"/>
          <w:szCs w:val="20"/>
        </w:rPr>
        <w:t xml:space="preserve">被告提交的评估报告将"司炉工2人+机动岗1人，月度合计31,814.23元"明确列为热水费的成本构成项。被告无法在庭上主张人工费不属于热水成本，同时又用一份将人工费明确列入热水成本的报告来证明42元合理。</w:t>
      </w:r>
    </w:p>
    <w:p>
      <w:pPr>
        <w:spacing w:after="0" w:before="0"/>
      </w:pPr>
      <w:r>
        <w:t xml:space="preserve"/>
      </w:r>
    </w:p>
    <w:tbl>
      <w:tblPr>
        <w:tblW w:type="dxa" w:w="9506"/>
        <w:tblBorders>
          <w:top w:val="single" w:color="922B21" w:sz="12"/>
          <w:left w:val="single" w:color="922B21" w:sz="12"/>
          <w:bottom w:val="single" w:color="922B21" w:sz="4"/>
          <w:right w:val="single" w:color="922B21"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FADBD8" w:val="clear"/>
            <w:tcMar>
              <w:top w:type="dxa" w:w="100"/>
              <w:left w:type="dxa" w:w="160"/>
              <w:bottom w:type="dxa" w:w="100"/>
              <w:right w:type="dxa" w:w="160"/>
            </w:tcMar>
          </w:tcPr>
          <w:p>
            <w:pPr>
              <w:spacing w:after="60" w:before="0"/>
            </w:pPr>
            <w:r>
              <w:rPr>
                <w:rFonts w:ascii="Arial" w:cs="Arial" w:eastAsia="Arial" w:hAnsi="Arial"/>
                <w:b/>
                <w:bCs/>
                <w:color w:val="922B21"/>
                <w:sz w:val="20"/>
                <w:szCs w:val="20"/>
              </w:rPr>
              <w:t xml:space="preserve">评估报告的双重价值：</w:t>
            </w:r>
          </w:p>
          <w:p>
            <w:pPr>
              <w:spacing w:after="20" w:before="0" w:line="300"/>
            </w:pPr>
            <w:r>
              <w:rPr>
                <w:rFonts w:ascii="Arial" w:cs="Arial" w:eastAsia="Arial" w:hAnsi="Arial"/>
                <w:color w:val="1A1A1A"/>
                <w:sz w:val="19"/>
                <w:szCs w:val="19"/>
              </w:rPr>
              <w:t xml:space="preserve">① 作为被告的不利陈述：报告将人工成本列入热水费，直接证实了原告"人工费被计入热水费"的核心指控</w:t>
            </w:r>
          </w:p>
          <w:p>
            <w:pPr>
              <w:spacing w:after="20" w:before="0" w:line="300"/>
            </w:pPr>
            <w:r>
              <w:rPr>
                <w:rFonts w:ascii="Arial" w:cs="Arial" w:eastAsia="Arial" w:hAnsi="Arial"/>
                <w:color w:val="1A1A1A"/>
                <w:sz w:val="19"/>
                <w:szCs w:val="19"/>
              </w:rPr>
              <w:t xml:space="preserve">② 作为证明被告内部认知的文件：说明被告自己也认为人工费是热水成本项，与住户手册第三章第2条形成无法调和的矛盾</w:t>
            </w:r>
          </w:p>
        </w:tc>
      </w:tr>
    </w:tbl>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第七步：救济依据</w:t>
      </w:r>
    </w:p>
    <w:p>
      <w:pPr>
        <w:spacing w:after="80" w:before="80" w:line="320"/>
        <w:jc w:val="left"/>
      </w:pPr>
      <w:r>
        <w:rPr>
          <w:rFonts w:ascii="Arial" w:cs="Arial" w:eastAsia="Arial" w:hAnsi="Arial"/>
          <w:b w:val="false"/>
          <w:bCs w:val="false"/>
          <w:i w:val="false"/>
          <w:iCs w:val="false"/>
          <w:color w:val="1A1A1A"/>
          <w:sz w:val="20"/>
          <w:szCs w:val="20"/>
        </w:rPr>
        <w:t xml:space="preserve">【证据】物业服务合同第二十四条</w:t>
      </w:r>
    </w:p>
    <w:p>
      <w:pPr>
        <w:spacing w:after="80" w:before="80" w:line="320"/>
        <w:jc w:val="left"/>
      </w:pPr>
      <w:r>
        <w:rPr>
          <w:rFonts w:ascii="Arial" w:cs="Arial" w:eastAsia="Arial" w:hAnsi="Arial"/>
          <w:b w:val="false"/>
          <w:bCs w:val="false"/>
          <w:i w:val="false"/>
          <w:iCs w:val="false"/>
          <w:color w:val="1A1A1A"/>
          <w:sz w:val="20"/>
          <w:szCs w:val="20"/>
        </w:rPr>
        <w:t xml:space="preserve">合同第二十四条明确，被告"擅自提高收费标准"的，"已经支付的，业主有权要求乙方双倍返还"。将物业费已覆盖的人工成本转嫁到热水费，属于擅自加载额外成本，原告有权据此主张双倍返还超收部分。</w:t>
      </w:r>
    </w:p>
    <w:p>
      <w:pPr>
        <w:spacing w:after="0" w:before="0"/>
      </w:pPr>
      <w:r>
        <w:t xml:space="preserve"/>
      </w:r>
    </w:p>
    <w:p>
      <w:pPr>
        <w:pStyle w:val="Heading1"/>
        <w:pageBreakBefore/>
        <w:shd w:fill="1B4F72" w:val="clear"/>
        <w:spacing w:after="160" w:before="0"/>
        <w:ind w:left="200" w:right="200"/>
      </w:pPr>
      <w:r>
        <w:rPr>
          <w:rFonts w:ascii="Arial" w:cs="Arial" w:eastAsia="Arial" w:hAnsi="Arial"/>
          <w:b/>
          <w:bCs/>
          <w:color w:val="FFFFFF"/>
          <w:sz w:val="32"/>
          <w:szCs w:val="32"/>
        </w:rPr>
        <w:t xml:space="preserve">七、对被告提交评估报告的专项质证意见</w:t>
      </w:r>
    </w:p>
    <w:p>
      <w:pPr>
        <w:spacing w:after="80" w:before="80" w:line="320"/>
        <w:jc w:val="left"/>
      </w:pPr>
      <w:r>
        <w:rPr>
          <w:rFonts w:ascii="Arial" w:cs="Arial" w:eastAsia="Arial" w:hAnsi="Arial"/>
          <w:b w:val="false"/>
          <w:bCs w:val="false"/>
          <w:i w:val="false"/>
          <w:iCs w:val="false"/>
          <w:color w:val="1A1A1A"/>
          <w:sz w:val="20"/>
          <w:szCs w:val="20"/>
        </w:rPr>
        <w:t xml:space="preserve">被告提交上海德同房地产评估咨询有限公司出具的《热水系统第三方评估报告》（2025年1月8日），以证明42元/立方的定价合理。以下从四个维度对该报告进行系统性质疑。</w:t>
      </w:r>
    </w:p>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7.1 报告逻辑自洽性分析</w:t>
      </w:r>
    </w:p>
    <w:tbl>
      <w:tblPr>
        <w:tblW w:type="dxa" w:w="9506"/>
        <w:tblBorders>
          <w:top w:val="single" w:color="922B21" w:sz="12"/>
          <w:left w:val="single" w:color="922B21" w:sz="12"/>
          <w:bottom w:val="single" w:color="922B21" w:sz="4"/>
          <w:right w:val="single" w:color="922B21"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FADBD8" w:val="clear"/>
            <w:tcMar>
              <w:top w:type="dxa" w:w="100"/>
              <w:left w:type="dxa" w:w="160"/>
              <w:bottom w:type="dxa" w:w="100"/>
              <w:right w:type="dxa" w:w="160"/>
            </w:tcMar>
          </w:tcPr>
          <w:p>
            <w:pPr>
              <w:spacing w:after="60" w:before="0"/>
            </w:pPr>
            <w:r>
              <w:rPr>
                <w:rFonts w:ascii="Arial" w:cs="Arial" w:eastAsia="Arial" w:hAnsi="Arial"/>
                <w:b/>
                <w:bCs/>
                <w:color w:val="922B21"/>
                <w:sz w:val="20"/>
                <w:szCs w:val="20"/>
              </w:rPr>
              <w:t xml:space="preserve">核心矛盾：计算结果自我否定结论：</w:t>
            </w:r>
          </w:p>
          <w:p>
            <w:pPr>
              <w:spacing w:after="20" w:before="0" w:line="300"/>
            </w:pPr>
            <w:r>
              <w:rPr>
                <w:rFonts w:ascii="Arial" w:cs="Arial" w:eastAsia="Arial" w:hAnsi="Arial"/>
                <w:color w:val="1A1A1A"/>
                <w:sz w:val="19"/>
                <w:szCs w:val="19"/>
              </w:rPr>
              <w:t xml:space="preserve">报告测算原始单一锅炉模式：62.75元/立方；当前多能源模式：49.45元/立方。两种模式均高于实际收费42元。报告未对此差距作出任何解释——用一份"最低测算值仍高于实际收费"的报告来证明收费合理，在逻辑上恰好是反证。</w:t>
            </w:r>
          </w:p>
        </w:tc>
      </w:tr>
    </w:tbl>
    <w:p>
      <w:pPr>
        <w:spacing w:after="0" w:before="0"/>
      </w:pPr>
      <w:r>
        <w:t xml:space="preserve"/>
      </w:r>
    </w:p>
    <w:p>
      <w:pPr>
        <w:pStyle w:val="Heading3"/>
        <w:spacing w:after="80" w:before="180"/>
      </w:pPr>
      <w:r>
        <w:rPr>
          <w:rFonts w:ascii="Arial" w:cs="Arial" w:eastAsia="Arial" w:hAnsi="Arial"/>
          <w:b/>
          <w:bCs/>
          <w:color w:val="444444"/>
          <w:sz w:val="22"/>
          <w:szCs w:val="22"/>
        </w:rPr>
        <w:t xml:space="preserve">具体矛盾点</w:t>
      </w:r>
    </w:p>
    <w:p>
      <w:pPr>
        <w:spacing w:after="80" w:before="80" w:line="320"/>
        <w:jc w:val="left"/>
      </w:pPr>
      <w:r>
        <w:rPr>
          <w:rFonts w:ascii="Arial" w:cs="Arial" w:eastAsia="Arial" w:hAnsi="Arial"/>
          <w:b w:val="false"/>
          <w:bCs w:val="false"/>
          <w:i w:val="false"/>
          <w:iCs w:val="false"/>
          <w:color w:val="1A1A1A"/>
          <w:sz w:val="20"/>
          <w:szCs w:val="20"/>
        </w:rPr>
        <w:t xml:space="preserve">矛盾一（最致命）：人工成本被明确列为热水费成本项</w:t>
      </w:r>
    </w:p>
    <w:p>
      <w:pPr>
        <w:spacing w:after="80" w:before="80" w:line="320"/>
        <w:jc w:val="left"/>
      </w:pPr>
      <w:r>
        <w:rPr>
          <w:rFonts w:ascii="Arial" w:cs="Arial" w:eastAsia="Arial" w:hAnsi="Arial"/>
          <w:b w:val="false"/>
          <w:bCs w:val="false"/>
          <w:i w:val="false"/>
          <w:iCs w:val="false"/>
          <w:color w:val="1A1A1A"/>
          <w:sz w:val="20"/>
          <w:szCs w:val="20"/>
        </w:rPr>
        <w:t xml:space="preserve">报告将31,814.23元/月的人工成本（司炉工2人+机动岗1人）列入热水费成本明细，与住户手册第三章第2条正面冲突。这是被告自委报告对原告核心主张的直接印证。</w:t>
      </w:r>
    </w:p>
    <w:p>
      <w:pPr>
        <w:spacing w:after="0" w:before="0"/>
      </w:pPr>
      <w:r>
        <w:t xml:space="preserve"/>
      </w:r>
    </w:p>
    <w:p>
      <w:pPr>
        <w:spacing w:after="80" w:before="80" w:line="320"/>
        <w:jc w:val="left"/>
      </w:pPr>
      <w:r>
        <w:rPr>
          <w:rFonts w:ascii="Arial" w:cs="Arial" w:eastAsia="Arial" w:hAnsi="Arial"/>
          <w:b w:val="false"/>
          <w:bCs w:val="false"/>
          <w:i w:val="false"/>
          <w:iCs w:val="false"/>
          <w:color w:val="1A1A1A"/>
          <w:sz w:val="20"/>
          <w:szCs w:val="20"/>
        </w:rPr>
        <w:t xml:space="preserve">矛盾二：基础数据非实测，系"经验估算"</w:t>
      </w:r>
    </w:p>
    <w:p>
      <w:pPr>
        <w:pBdr>
          <w:left w:val="single" w:color="1B4F72" w:sz="12"/>
        </w:pBdr>
        <w:shd w:fill="F8FAFC" w:val="clear"/>
        <w:spacing w:after="80" w:before="80" w:line="300"/>
        <w:ind w:left="600" w:right="400"/>
      </w:pPr>
      <w:r>
        <w:rPr>
          <w:rFonts w:ascii="Arial" w:cs="Arial" w:eastAsia="Arial" w:hAnsi="Arial"/>
          <w:i/>
          <w:iCs/>
          <w:color w:val="444444"/>
          <w:sz w:val="19"/>
          <w:szCs w:val="19"/>
        </w:rPr>
        <w:t xml:space="preserve">"部分数据目前上海市无法查找，其数据得出凭借以往计算经验值及项目运营平均值选取"</w:t>
      </w:r>
    </w:p>
    <w:p>
      <w:pPr>
        <w:spacing w:after="80" w:before="80" w:line="320"/>
        <w:jc w:val="left"/>
      </w:pPr>
      <w:r>
        <w:rPr>
          <w:rFonts w:ascii="Arial" w:cs="Arial" w:eastAsia="Arial" w:hAnsi="Arial"/>
          <w:b w:val="false"/>
          <w:bCs w:val="false"/>
          <w:i w:val="false"/>
          <w:iCs w:val="false"/>
          <w:color w:val="1A1A1A"/>
          <w:sz w:val="20"/>
          <w:szCs w:val="20"/>
        </w:rPr>
        <w:t xml:space="preserve">月耗水量1,850立方米系按"人均45升/天"估算，非本项目实际水表计量数据。</w:t>
      </w:r>
    </w:p>
    <w:p>
      <w:pPr>
        <w:spacing w:after="0" w:before="0"/>
      </w:pPr>
      <w:r>
        <w:t xml:space="preserve"/>
      </w:r>
    </w:p>
    <w:p>
      <w:pPr>
        <w:spacing w:after="80" w:before="80" w:line="320"/>
        <w:jc w:val="left"/>
      </w:pPr>
      <w:r>
        <w:rPr>
          <w:rFonts w:ascii="Arial" w:cs="Arial" w:eastAsia="Arial" w:hAnsi="Arial"/>
          <w:b w:val="false"/>
          <w:bCs w:val="false"/>
          <w:i w:val="false"/>
          <w:iCs w:val="false"/>
          <w:color w:val="1A1A1A"/>
          <w:sz w:val="20"/>
          <w:szCs w:val="20"/>
        </w:rPr>
        <w:t xml:space="preserve">矛盾三："第三方节能收益款"来源不明</w:t>
      </w:r>
    </w:p>
    <w:p>
      <w:pPr>
        <w:spacing w:after="80" w:before="80" w:line="320"/>
        <w:jc w:val="left"/>
      </w:pPr>
      <w:r>
        <w:rPr>
          <w:rFonts w:ascii="Arial" w:cs="Arial" w:eastAsia="Arial" w:hAnsi="Arial"/>
          <w:b w:val="false"/>
          <w:bCs w:val="false"/>
          <w:i w:val="false"/>
          <w:iCs w:val="false"/>
          <w:color w:val="1A1A1A"/>
          <w:sz w:val="20"/>
          <w:szCs w:val="20"/>
        </w:rPr>
        <w:t xml:space="preserve">多能源模式中列有"第三方节能收益款14,794.95元/月"，报告未说明由谁支付、是否已从业主应负担成本中扣除。若该收益已由外部机构支付给物业，对应成本不应再转嫁业主。</w:t>
      </w:r>
    </w:p>
    <w:p>
      <w:pPr>
        <w:spacing w:after="0" w:before="0"/>
      </w:pPr>
      <w:r>
        <w:t xml:space="preserve"/>
      </w:r>
    </w:p>
    <w:p>
      <w:pPr>
        <w:spacing w:after="80" w:before="80" w:line="320"/>
        <w:jc w:val="left"/>
      </w:pPr>
      <w:r>
        <w:rPr>
          <w:rFonts w:ascii="Arial" w:cs="Arial" w:eastAsia="Arial" w:hAnsi="Arial"/>
          <w:b w:val="false"/>
          <w:bCs w:val="false"/>
          <w:i w:val="false"/>
          <w:iCs w:val="false"/>
          <w:color w:val="1A1A1A"/>
          <w:sz w:val="20"/>
          <w:szCs w:val="20"/>
        </w:rPr>
        <w:t xml:space="preserve">矛盾四：报告明确声明"不能作为定价依据"</w:t>
      </w:r>
    </w:p>
    <w:p>
      <w:pPr>
        <w:pBdr>
          <w:left w:val="single" w:color="1B4F72" w:sz="12"/>
        </w:pBdr>
        <w:shd w:fill="F8FAFC" w:val="clear"/>
        <w:spacing w:after="80" w:before="80" w:line="300"/>
        <w:ind w:left="600" w:right="400"/>
      </w:pPr>
      <w:r>
        <w:rPr>
          <w:rFonts w:ascii="Arial" w:cs="Arial" w:eastAsia="Arial" w:hAnsi="Arial"/>
          <w:i/>
          <w:iCs/>
          <w:color w:val="444444"/>
          <w:sz w:val="19"/>
          <w:szCs w:val="19"/>
        </w:rPr>
        <w:t xml:space="preserve">"最终评估结果仅作为定价参考，不能完全等同定价"</w:t>
      </w:r>
    </w:p>
    <w:p>
      <w:pPr>
        <w:spacing w:after="80" w:before="80" w:line="320"/>
        <w:jc w:val="left"/>
      </w:pPr>
      <w:r>
        <w:rPr>
          <w:rFonts w:ascii="Arial" w:cs="Arial" w:eastAsia="Arial" w:hAnsi="Arial"/>
          <w:b w:val="false"/>
          <w:bCs w:val="false"/>
          <w:i w:val="false"/>
          <w:iCs w:val="false"/>
          <w:color w:val="1A1A1A"/>
          <w:sz w:val="20"/>
          <w:szCs w:val="20"/>
        </w:rPr>
        <w:t xml:space="preserve">物业以此报告在庭审中证明42元定价合理，已超出报告自身声明的使用边界。</w:t>
      </w:r>
    </w:p>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7.2 单方面委托的法律效力</w:t>
      </w:r>
    </w:p>
    <w:p>
      <w:pPr>
        <w:spacing w:after="80" w:before="80" w:line="320"/>
        <w:jc w:val="left"/>
      </w:pPr>
      <w:r>
        <w:rPr>
          <w:rFonts w:ascii="Arial" w:cs="Arial" w:eastAsia="Arial" w:hAnsi="Arial"/>
          <w:b w:val="false"/>
          <w:bCs w:val="false"/>
          <w:i w:val="false"/>
          <w:iCs w:val="false"/>
          <w:color w:val="1A1A1A"/>
          <w:sz w:val="20"/>
          <w:szCs w:val="20"/>
        </w:rPr>
        <w:t xml:space="preserve">报告免责声明：</w:t>
      </w:r>
    </w:p>
    <w:p>
      <w:pPr>
        <w:pBdr>
          <w:left w:val="single" w:color="1B4F72" w:sz="12"/>
        </w:pBdr>
        <w:shd w:fill="F8FAFC" w:val="clear"/>
        <w:spacing w:after="80" w:before="80" w:line="300"/>
        <w:ind w:left="600" w:right="400"/>
      </w:pPr>
      <w:r>
        <w:rPr>
          <w:rFonts w:ascii="Arial" w:cs="Arial" w:eastAsia="Arial" w:hAnsi="Arial"/>
          <w:i/>
          <w:iCs/>
          <w:color w:val="444444"/>
          <w:sz w:val="19"/>
          <w:szCs w:val="19"/>
        </w:rPr>
        <w:t xml:space="preserve">"以上测算过程及结论基于委托人提供或确认的评估标的有关参数及服务标准，评估人仅对成本核算方法及相应结果负责，委托人对所提供内容的真实性和有效性负责"</w:t>
      </w:r>
    </w:p>
    <w:p>
      <w:pPr>
        <w:spacing w:after="80" w:before="80" w:line="320"/>
        <w:jc w:val="left"/>
      </w:pPr>
      <w:r>
        <w:rPr>
          <w:rFonts w:ascii="Arial" w:cs="Arial" w:eastAsia="Arial" w:hAnsi="Arial"/>
          <w:b w:val="false"/>
          <w:bCs w:val="false"/>
          <w:i w:val="false"/>
          <w:iCs w:val="false"/>
          <w:color w:val="1A1A1A"/>
          <w:sz w:val="20"/>
          <w:szCs w:val="20"/>
        </w:rPr>
        <w:t xml:space="preserve">所有基础数据由被告物业提供并"确认"，德同公司不对数据真实性负任何责任。该报告实质是"被告提供数据、被告确认参数、第三方套用公式计算"的产物，与被告自行出具的成本核算表性质相同。</w:t>
      </w:r>
    </w:p>
    <w:p>
      <w:pPr>
        <w:spacing w:after="80" w:before="80" w:line="320"/>
        <w:jc w:val="left"/>
      </w:pPr>
      <w:r>
        <w:rPr>
          <w:rFonts w:ascii="Arial" w:cs="Arial" w:eastAsia="Arial" w:hAnsi="Arial"/>
          <w:b w:val="false"/>
          <w:bCs w:val="false"/>
          <w:i w:val="false"/>
          <w:iCs w:val="false"/>
          <w:color w:val="1A1A1A"/>
          <w:sz w:val="20"/>
          <w:szCs w:val="20"/>
        </w:rPr>
        <w:t xml:space="preserve">依据《最高人民法院关于民事诉讼证据的若干规定》第四十一条，当事人委托出具的意见书与当事人单方陈述的证明力相当，法院应对其独立性持审慎态度。</w:t>
      </w:r>
    </w:p>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7.3 评估公司资质问题</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606"/>
      </w:tblGrid>
      <w:tr>
        <w:trPr>
          <w:tblHeader/>
        </w:trPr>
        <w:tc>
          <w:tcPr>
            <w:tcW w:type="dxa" w:w="24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核查项</w:t>
            </w:r>
          </w:p>
        </w:tc>
        <w:tc>
          <w:tcPr>
            <w:tcW w:type="dxa" w:w="45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实际情况</w:t>
            </w:r>
          </w:p>
        </w:tc>
        <w:tc>
          <w:tcPr>
            <w:tcW w:type="dxa" w:w="2606"/>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评估</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持有资质</w:t>
            </w:r>
          </w:p>
        </w:tc>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上海市住宅物业服务价格评估机构备案证书（2021SH0006）</w:t>
            </w:r>
          </w:p>
        </w:tc>
        <w:tc>
          <w:tcPr>
            <w:tcW w:type="dxa" w:w="26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物业管理费评估资质，非热力工程资质</w:t>
            </w:r>
          </w:p>
        </w:tc>
      </w:tr>
      <w:tr>
        <w:tc>
          <w:tcPr>
            <w:tcW w:type="dxa" w:w="24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通用房地产估价资质</w:t>
            </w:r>
          </w:p>
        </w:tc>
        <w:tc>
          <w:tcPr>
            <w:tcW w:type="dxa" w:w="45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未在上海市房地产估价机构名录中出现</w:t>
            </w:r>
          </w:p>
        </w:tc>
        <w:tc>
          <w:tcPr>
            <w:tcW w:type="dxa" w:w="2606"/>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922B21"/>
                <w:sz w:val="19"/>
                <w:szCs w:val="19"/>
              </w:rPr>
              <w:t xml:space="preserve">不具备</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工程咨询资质</w:t>
            </w:r>
          </w:p>
        </w:tc>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未查到国家发改委颁发的工程咨询资质</w:t>
            </w:r>
          </w:p>
        </w:tc>
        <w:tc>
          <w:tcPr>
            <w:tcW w:type="dxa" w:w="2606"/>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922B21"/>
                <w:sz w:val="19"/>
                <w:szCs w:val="19"/>
              </w:rPr>
              <w:t xml:space="preserve">不具备</w:t>
            </w:r>
          </w:p>
        </w:tc>
      </w:tr>
      <w:tr>
        <w:tc>
          <w:tcPr>
            <w:tcW w:type="dxa" w:w="24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热力工程专项资质</w:t>
            </w:r>
          </w:p>
        </w:tc>
        <w:tc>
          <w:tcPr>
            <w:tcW w:type="dxa" w:w="45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无任何记录</w:t>
            </w:r>
          </w:p>
        </w:tc>
        <w:tc>
          <w:tcPr>
            <w:tcW w:type="dxa" w:w="2606"/>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922B21"/>
                <w:sz w:val="19"/>
                <w:szCs w:val="19"/>
              </w:rPr>
              <w:t xml:space="preserve">不具备</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报告核心内容</w:t>
            </w:r>
          </w:p>
        </w:tc>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锅炉热效率、空气能热泵COP值、太阳能集热效率等热力工程参数</w:t>
            </w:r>
          </w:p>
        </w:tc>
        <w:tc>
          <w:tcPr>
            <w:tcW w:type="dxa" w:w="26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超出物业价格评估业务范围</w:t>
            </w:r>
          </w:p>
        </w:tc>
      </w:tr>
    </w:tbl>
    <w:p>
      <w:pPr>
        <w:spacing w:after="0" w:before="0"/>
      </w:pPr>
      <w:r>
        <w:t xml:space="preserve"/>
      </w:r>
    </w:p>
    <w:p>
      <w:pPr>
        <w:spacing w:after="80" w:before="80" w:line="320"/>
        <w:jc w:val="left"/>
      </w:pPr>
      <w:r>
        <w:rPr>
          <w:rFonts w:ascii="Arial" w:cs="Arial" w:eastAsia="Arial" w:hAnsi="Arial"/>
          <w:b w:val="false"/>
          <w:bCs w:val="false"/>
          <w:i w:val="false"/>
          <w:iCs w:val="false"/>
          <w:color w:val="1A1A1A"/>
          <w:sz w:val="20"/>
          <w:szCs w:val="20"/>
        </w:rPr>
        <w:t xml:space="preserve">庭审中可要求被告出示：① 德同公司工程咨询资质证书；② 报告执笔人刘志立、董婧婷的执业资格证书。若两人仅持有房地产估价师证书，则其出具的热水系统能耗报告超出本人执业范围。</w:t>
      </w:r>
    </w:p>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7.4 关联关系调查</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106"/>
      </w:tblGrid>
      <w:tr>
        <w:trPr>
          <w:tblHeader/>
        </w:trPr>
        <w:tc>
          <w:tcPr>
            <w:tcW w:type="dxa" w:w="22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核查项</w:t>
            </w:r>
          </w:p>
        </w:tc>
        <w:tc>
          <w:tcPr>
            <w:tcW w:type="dxa" w:w="42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查询结果</w:t>
            </w:r>
          </w:p>
        </w:tc>
        <w:tc>
          <w:tcPr>
            <w:tcW w:type="dxa" w:w="3106"/>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结论</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法定代表人</w:t>
            </w:r>
          </w:p>
        </w:tc>
        <w:tc>
          <w:tcPr>
            <w:tcW w:type="dxa" w:w="4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德同：张维莉；物业：王德荣</w:t>
            </w:r>
          </w:p>
        </w:tc>
        <w:tc>
          <w:tcPr>
            <w:tcW w:type="dxa" w:w="31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无直接重叠</w:t>
            </w:r>
          </w:p>
        </w:tc>
      </w:tr>
      <w:tr>
        <w:tc>
          <w:tcPr>
            <w:tcW w:type="dxa" w:w="22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股东/高管交叉</w:t>
            </w:r>
          </w:p>
        </w:tc>
        <w:tc>
          <w:tcPr>
            <w:tcW w:type="dxa" w:w="42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工商数据库境外访问受限，未能核实</w:t>
            </w:r>
          </w:p>
        </w:tc>
        <w:tc>
          <w:tcPr>
            <w:tcW w:type="dxa" w:w="3106"/>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需申请法院调取工商档案</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付费委托关系</w:t>
            </w:r>
          </w:p>
        </w:tc>
        <w:tc>
          <w:tcPr>
            <w:tcW w:type="dxa" w:w="4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被告委托并付费，数据由被告提供</w:t>
            </w:r>
          </w:p>
        </w:tc>
        <w:tc>
          <w:tcPr>
            <w:tcW w:type="dxa" w:w="3106"/>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922B21"/>
                <w:sz w:val="19"/>
                <w:szCs w:val="19"/>
              </w:rPr>
              <w:t xml:space="preserve">已构成利益关系，影响独立性</w:t>
            </w:r>
          </w:p>
        </w:tc>
      </w:tr>
      <w:tr>
        <w:tc>
          <w:tcPr>
            <w:tcW w:type="dxa" w:w="22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同名关联实体</w:t>
            </w:r>
          </w:p>
        </w:tc>
        <w:tc>
          <w:tcPr>
            <w:tcW w:type="dxa" w:w="42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"上海德同物业管理事务所（普通合伙）"，同在黄浦区，定位为第三方物业评估监督机构</w:t>
            </w:r>
          </w:p>
        </w:tc>
        <w:tc>
          <w:tcPr>
            <w:tcW w:type="dxa" w:w="3106"/>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922B21"/>
                <w:sz w:val="19"/>
                <w:szCs w:val="19"/>
              </w:rPr>
              <w:t xml:space="preserve">需进一步核查两个"德同"实体之间的人员控制关系</w:t>
            </w:r>
          </w:p>
        </w:tc>
      </w:tr>
    </w:tbl>
    <w:p>
      <w:pPr>
        <w:spacing w:after="0" w:before="0"/>
      </w:pPr>
      <w:r>
        <w:t xml:space="preserve"/>
      </w:r>
    </w:p>
    <w:p>
      <w:pPr>
        <w:pStyle w:val="Heading1"/>
        <w:pageBreakBefore/>
        <w:shd w:fill="1B4F72" w:val="clear"/>
        <w:spacing w:after="160" w:before="0"/>
        <w:ind w:left="200" w:right="200"/>
      </w:pPr>
      <w:r>
        <w:rPr>
          <w:rFonts w:ascii="Arial" w:cs="Arial" w:eastAsia="Arial" w:hAnsi="Arial"/>
          <w:b/>
          <w:bCs/>
          <w:color w:val="FFFFFF"/>
          <w:sz w:val="32"/>
          <w:szCs w:val="32"/>
        </w:rPr>
        <w:t xml:space="preserve">八、人工费：热水费成本的第一大项</w:t>
      </w:r>
    </w:p>
    <w:p>
      <w:pPr>
        <w:spacing w:after="80" w:before="80" w:line="320"/>
        <w:jc w:val="left"/>
      </w:pPr>
      <w:r>
        <w:rPr>
          <w:rFonts w:ascii="Arial" w:cs="Arial" w:eastAsia="Arial" w:hAnsi="Arial"/>
          <w:b w:val="false"/>
          <w:bCs w:val="false"/>
          <w:i w:val="false"/>
          <w:iCs w:val="false"/>
          <w:color w:val="1A1A1A"/>
          <w:sz w:val="20"/>
          <w:szCs w:val="20"/>
        </w:rPr>
        <w:t xml:space="preserve">本章说明人工费在热水费总成本中的量级，揭示其对整个成本结构的决定性影响。这是本案的核心前提：人工费归属问题，直接决定热水费成本的合理性。</w:t>
      </w:r>
    </w:p>
    <w:p>
      <w:pPr>
        <w:spacing w:after="0" w:before="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4006"/>
      </w:tblGrid>
      <w:tr>
        <w:trPr>
          <w:tblHeader/>
        </w:trPr>
        <w:tc>
          <w:tcPr>
            <w:tcW w:type="dxa" w:w="35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项目</w:t>
            </w:r>
          </w:p>
        </w:tc>
        <w:tc>
          <w:tcPr>
            <w:tcW w:type="dxa" w:w="20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金额（元）</w:t>
            </w:r>
          </w:p>
        </w:tc>
        <w:tc>
          <w:tcPr>
            <w:tcW w:type="dxa" w:w="4006"/>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说明</w:t>
            </w:r>
          </w:p>
        </w:tc>
      </w:tr>
      <w:tr>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2022年热水费收入</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915,543</w:t>
            </w:r>
          </w:p>
        </w:tc>
        <w:tc>
          <w:tcPr>
            <w:tcW w:type="dxa" w:w="40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按业主实际缴纳</w:t>
            </w:r>
          </w:p>
        </w:tc>
      </w:tr>
      <w:tr>
        <w:tc>
          <w:tcPr>
            <w:tcW w:type="dxa" w:w="35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2022年总申报支出</w:t>
            </w:r>
          </w:p>
        </w:tc>
        <w:tc>
          <w:tcPr>
            <w:tcW w:type="dxa" w:w="20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1,112,123</w:t>
            </w:r>
          </w:p>
        </w:tc>
        <w:tc>
          <w:tcPr>
            <w:tcW w:type="dxa" w:w="4006"/>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被告申报</w:t>
            </w:r>
          </w:p>
        </w:tc>
      </w:tr>
      <w:tr>
        <w:tc>
          <w:tcPr>
            <w:tcW w:type="dxa" w:w="35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922B21"/>
                <w:sz w:val="19"/>
                <w:szCs w:val="19"/>
              </w:rPr>
              <w:t xml:space="preserve">减：人工成本（应由物业费覆盖）</w:t>
            </w:r>
          </w:p>
        </w:tc>
        <w:tc>
          <w:tcPr>
            <w:tcW w:type="dxa" w:w="20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922B21"/>
                <w:sz w:val="19"/>
                <w:szCs w:val="19"/>
              </w:rPr>
              <w:t xml:space="preserve">−344,663</w:t>
            </w:r>
          </w:p>
        </w:tc>
        <w:tc>
          <w:tcPr>
            <w:tcW w:type="dxa" w:w="4006"/>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922B21"/>
                <w:sz w:val="19"/>
                <w:szCs w:val="19"/>
              </w:rPr>
              <w:t xml:space="preserve">本案争议核心</w:t>
            </w:r>
          </w:p>
        </w:tc>
      </w:tr>
      <w:tr>
        <w:tc>
          <w:tcPr>
            <w:tcW w:type="dxa" w:w="35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减：节能费（性质存疑）</w:t>
            </w:r>
          </w:p>
        </w:tc>
        <w:tc>
          <w:tcPr>
            <w:tcW w:type="dxa" w:w="20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−168,048</w:t>
            </w:r>
          </w:p>
        </w:tc>
        <w:tc>
          <w:tcPr>
            <w:tcW w:type="dxa" w:w="4006"/>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另一攻击线</w:t>
            </w:r>
          </w:p>
        </w:tc>
      </w:tr>
      <w:tr>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A1A1A"/>
                <w:sz w:val="19"/>
                <w:szCs w:val="19"/>
              </w:rPr>
              <w:t xml:space="preserve">合理支出（仅能源耗材）</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A1A1A"/>
                <w:sz w:val="19"/>
                <w:szCs w:val="19"/>
              </w:rPr>
              <w:t xml:space="preserve">599,412</w:t>
            </w:r>
          </w:p>
        </w:tc>
        <w:tc>
          <w:tcPr>
            <w:tcW w:type="dxa" w:w="40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扣除人工费后余额，仅供参考</w:t>
            </w:r>
          </w:p>
        </w:tc>
      </w:tr>
    </w:tbl>
    <w:p>
      <w:pPr>
        <w:spacing w:after="0" w:before="0"/>
      </w:pPr>
      <w:r>
        <w:t xml:space="preserve"/>
      </w:r>
    </w:p>
    <w:p>
      <w:pPr>
        <w:spacing w:after="0" w:before="0"/>
      </w:pPr>
      <w:r>
        <w:t xml:space="preserve"/>
      </w:r>
    </w:p>
    <w:p>
      <w:pPr>
        <w:pStyle w:val="Heading1"/>
        <w:pageBreakBefore/>
        <w:shd w:fill="1B4F72" w:val="clear"/>
        <w:spacing w:after="160" w:before="0"/>
        <w:ind w:left="200" w:right="200"/>
      </w:pPr>
      <w:r>
        <w:rPr>
          <w:rFonts w:ascii="Arial" w:cs="Arial" w:eastAsia="Arial" w:hAnsi="Arial"/>
          <w:b/>
          <w:bCs/>
          <w:color w:val="FFFFFF"/>
          <w:sz w:val="32"/>
          <w:szCs w:val="32"/>
        </w:rPr>
        <w:t xml:space="preserve">九、被告律师可能的攻击及完整应对策略</w:t>
      </w:r>
    </w:p>
    <w:p>
      <w:pPr>
        <w:spacing w:after="80" w:before="80" w:line="320"/>
        <w:jc w:val="left"/>
      </w:pPr>
      <w:r>
        <w:rPr>
          <w:rFonts w:ascii="Arial" w:cs="Arial" w:eastAsia="Arial" w:hAnsi="Arial"/>
          <w:b w:val="false"/>
          <w:bCs w:val="false"/>
          <w:i w:val="false"/>
          <w:iCs w:val="false"/>
          <w:color w:val="1A1A1A"/>
          <w:sz w:val="20"/>
          <w:szCs w:val="20"/>
        </w:rPr>
        <w:t xml:space="preserve">本章综合原有抗辩预判与本轮新信息，列出六大攻击方向及应对方案。</w:t>
      </w:r>
    </w:p>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攻击一：锅炉工专门从事热水服务，不属于物业管理人员</w:t>
      </w:r>
    </w:p>
    <w:p>
      <w:pPr>
        <w:pStyle w:val="Heading3"/>
        <w:spacing w:after="80" w:before="180"/>
      </w:pPr>
      <w:r>
        <w:rPr>
          <w:rFonts w:ascii="Arial" w:cs="Arial" w:eastAsia="Arial" w:hAnsi="Arial"/>
          <w:b/>
          <w:bCs/>
          <w:color w:val="444444"/>
          <w:sz w:val="22"/>
          <w:szCs w:val="22"/>
        </w:rPr>
        <w:t xml:space="preserve">攻击逻辑</w:t>
      </w:r>
    </w:p>
    <w:p>
      <w:pPr>
        <w:spacing w:after="80" w:before="80" w:line="320"/>
        <w:jc w:val="left"/>
      </w:pPr>
      <w:r>
        <w:rPr>
          <w:rFonts w:ascii="Arial" w:cs="Arial" w:eastAsia="Arial" w:hAnsi="Arial"/>
          <w:b w:val="false"/>
          <w:bCs w:val="false"/>
          <w:i w:val="false"/>
          <w:iCs w:val="false"/>
          <w:color w:val="1A1A1A"/>
          <w:sz w:val="20"/>
          <w:szCs w:val="20"/>
        </w:rPr>
        <w:t xml:space="preserve">热水服务是独立于物业管理的专项服务，司炉工是热水系统的专项运营人员，不属于"管理服务人员"的范畴，其成本不应由物业费承担。</w:t>
      </w:r>
    </w:p>
    <w:p>
      <w:pPr>
        <w:pStyle w:val="Heading3"/>
        <w:spacing w:after="80" w:before="180"/>
      </w:pPr>
      <w:r>
        <w:rPr>
          <w:rFonts w:ascii="Arial" w:cs="Arial" w:eastAsia="Arial" w:hAnsi="Arial"/>
          <w:b/>
          <w:bCs/>
          <w:color w:val="444444"/>
          <w:sz w:val="22"/>
          <w:szCs w:val="22"/>
        </w:rPr>
        <w:t xml:space="preserve">应对策略</w:t>
      </w:r>
    </w:p>
    <w:p>
      <w:pPr>
        <w:pStyle w:val="ListParagraph"/>
        <w:numPr>
          <w:ilvl w:val="0"/>
          <w:numId w:val="2"/>
        </w:numPr>
        <w:spacing w:after="40" w:before="40" w:line="300"/>
      </w:pPr>
      <w:r>
        <w:rPr>
          <w:rFonts w:ascii="Arial" w:cs="Arial" w:eastAsia="Arial" w:hAnsi="Arial"/>
          <w:color w:val="1A1A1A"/>
          <w:sz w:val="20"/>
          <w:szCs w:val="20"/>
        </w:rPr>
        <w:t xml:space="preserve">被告自己的劳动合同将这批人归属"工程维修中心（水电工）"——工程维修中心是物业管理部门的下设单位，被告自己的分类已否定了"独立热水服务人员"的主张</w:t>
      </w:r>
    </w:p>
    <w:p>
      <w:pPr>
        <w:pStyle w:val="ListParagraph"/>
        <w:numPr>
          <w:ilvl w:val="0"/>
          <w:numId w:val="2"/>
        </w:numPr>
        <w:spacing w:after="40" w:before="40" w:line="300"/>
      </w:pPr>
      <w:r>
        <w:rPr>
          <w:rFonts w:ascii="Arial" w:cs="Arial" w:eastAsia="Arial" w:hAnsi="Arial"/>
          <w:color w:val="1A1A1A"/>
          <w:sz w:val="20"/>
          <w:szCs w:val="20"/>
        </w:rPr>
        <w:t xml:space="preserve">国家《物业服务收费管理办法》和上海市住建委通知均将"管理服务人员"作为物业服务支出第一项，含义涵盖全体物业区域内服务岗位，包括设备操作类岗位</w:t>
      </w:r>
    </w:p>
    <w:p>
      <w:pPr>
        <w:pStyle w:val="ListParagraph"/>
        <w:numPr>
          <w:ilvl w:val="0"/>
          <w:numId w:val="2"/>
        </w:numPr>
        <w:spacing w:after="40" w:before="40" w:line="300"/>
      </w:pPr>
      <w:r>
        <w:rPr>
          <w:rFonts w:ascii="Arial" w:cs="Arial" w:eastAsia="Arial" w:hAnsi="Arial"/>
          <w:color w:val="1A1A1A"/>
          <w:sz w:val="20"/>
          <w:szCs w:val="20"/>
        </w:rPr>
        <w:t xml:space="preserve">物业服务合同附件三已将热水系统纳入物业服务约定范围，锅炉工执行的正是物业合同义务，其用工成本属于物业服务成本</w:t>
      </w:r>
    </w:p>
    <w:p>
      <w:pPr>
        <w:pStyle w:val="ListParagraph"/>
        <w:numPr>
          <w:ilvl w:val="0"/>
          <w:numId w:val="2"/>
        </w:numPr>
        <w:spacing w:after="40" w:before="40" w:line="300"/>
      </w:pPr>
      <w:r>
        <w:rPr>
          <w:rFonts w:ascii="Arial" w:cs="Arial" w:eastAsia="Arial" w:hAnsi="Arial"/>
          <w:color w:val="1A1A1A"/>
          <w:sz w:val="20"/>
          <w:szCs w:val="20"/>
        </w:rPr>
        <w:t xml:space="preserve">【关键自认证据】物业经理陈源于2024年9月19日在圣天地公寓5号楼业主群（111人）中明确表示："这三个人工是专职（不计入物业费人工；如果不供应热水，公司是不需要这三个人的）"。该陈述对被告构成当事人自认：（1）确认这3人工资未计入物业费，即物业费从未支付过这3人——但物业服务合同附件三明确将热水系统列为物业服务义务，则物业费的对价天然应包含履行该义务的人工成本；（2）"不供应热水就不需要"恰恰证明这3人是专门因热水服务义务而存在，而该义务来自物业服务合同——履约成本不应再向业主二次收取</w:t>
      </w:r>
    </w:p>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攻击二：物业费长期未调整，已无法覆盖热水运营人工成本</w:t>
      </w:r>
    </w:p>
    <w:p>
      <w:pPr>
        <w:pStyle w:val="Heading3"/>
        <w:spacing w:after="80" w:before="180"/>
      </w:pPr>
      <w:r>
        <w:rPr>
          <w:rFonts w:ascii="Arial" w:cs="Arial" w:eastAsia="Arial" w:hAnsi="Arial"/>
          <w:b/>
          <w:bCs/>
          <w:color w:val="444444"/>
          <w:sz w:val="22"/>
          <w:szCs w:val="22"/>
        </w:rPr>
        <w:t xml:space="preserve">攻击逻辑</w:t>
      </w:r>
    </w:p>
    <w:p>
      <w:pPr>
        <w:spacing w:after="80" w:before="80" w:line="320"/>
        <w:jc w:val="left"/>
      </w:pPr>
      <w:r>
        <w:rPr>
          <w:rFonts w:ascii="Arial" w:cs="Arial" w:eastAsia="Arial" w:hAnsi="Arial"/>
          <w:b w:val="false"/>
          <w:bCs w:val="false"/>
          <w:i w:val="false"/>
          <w:iCs w:val="false"/>
          <w:color w:val="1A1A1A"/>
          <w:sz w:val="20"/>
          <w:szCs w:val="20"/>
        </w:rPr>
        <w:t xml:space="preserve">物业费多年未涨，原有物业费已不足以覆盖锅炉工工资，物业不得已将人工成本纳入热水费以弥补实际亏损。</w:t>
      </w:r>
    </w:p>
    <w:p>
      <w:pPr>
        <w:pStyle w:val="Heading3"/>
        <w:spacing w:after="80" w:before="180"/>
      </w:pPr>
      <w:r>
        <w:rPr>
          <w:rFonts w:ascii="Arial" w:cs="Arial" w:eastAsia="Arial" w:hAnsi="Arial"/>
          <w:b/>
          <w:bCs/>
          <w:color w:val="444444"/>
          <w:sz w:val="22"/>
          <w:szCs w:val="22"/>
        </w:rPr>
        <w:t xml:space="preserve">应对策略</w:t>
      </w:r>
    </w:p>
    <w:p>
      <w:pPr>
        <w:pStyle w:val="ListParagraph"/>
        <w:numPr>
          <w:ilvl w:val="0"/>
          <w:numId w:val="2"/>
        </w:numPr>
        <w:spacing w:after="40" w:before="40" w:line="300"/>
      </w:pPr>
      <w:r>
        <w:rPr>
          <w:rFonts w:ascii="Arial" w:cs="Arial" w:eastAsia="Arial" w:hAnsi="Arial"/>
          <w:color w:val="1A1A1A"/>
          <w:sz w:val="20"/>
          <w:szCs w:val="20"/>
        </w:rPr>
        <w:t xml:space="preserve">管理规约第十一条已约定：如遇物业成本上涨，应通过业主大会协商机制解决。成本上涨的正确路径是调整物业费，而非将已约定由物业费覆盖的支出转嫁到热水费</w:t>
      </w:r>
    </w:p>
    <w:p>
      <w:pPr>
        <w:pStyle w:val="ListParagraph"/>
        <w:numPr>
          <w:ilvl w:val="0"/>
          <w:numId w:val="2"/>
        </w:numPr>
        <w:spacing w:after="40" w:before="40" w:line="300"/>
      </w:pPr>
      <w:r>
        <w:rPr>
          <w:rFonts w:ascii="Arial" w:cs="Arial" w:eastAsia="Arial" w:hAnsi="Arial"/>
          <w:color w:val="1A1A1A"/>
          <w:sz w:val="20"/>
          <w:szCs w:val="20"/>
        </w:rPr>
        <w:t xml:space="preserve">被告从未启动物业费调价的法定程序（业主大会决议），却单方面将人工成本转嫁，属于绕过合同约定的自救行为，不具法律依据</w:t>
      </w:r>
    </w:p>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攻击三：住户手册第四章赋予物业运行成本定价权，人工包含其中</w:t>
      </w:r>
    </w:p>
    <w:p>
      <w:pPr>
        <w:pStyle w:val="Heading3"/>
        <w:spacing w:after="80" w:before="180"/>
      </w:pPr>
      <w:r>
        <w:rPr>
          <w:rFonts w:ascii="Arial" w:cs="Arial" w:eastAsia="Arial" w:hAnsi="Arial"/>
          <w:b/>
          <w:bCs/>
          <w:color w:val="444444"/>
          <w:sz w:val="22"/>
          <w:szCs w:val="22"/>
        </w:rPr>
        <w:t xml:space="preserve">攻击逻辑</w:t>
      </w:r>
    </w:p>
    <w:p>
      <w:pPr>
        <w:spacing w:after="80" w:before="80" w:line="320"/>
        <w:jc w:val="left"/>
      </w:pPr>
      <w:r>
        <w:rPr>
          <w:rFonts w:ascii="Arial" w:cs="Arial" w:eastAsia="Arial" w:hAnsi="Arial"/>
          <w:b w:val="false"/>
          <w:bCs w:val="false"/>
          <w:i w:val="false"/>
          <w:iCs w:val="false"/>
          <w:color w:val="1A1A1A"/>
          <w:sz w:val="20"/>
          <w:szCs w:val="20"/>
        </w:rPr>
        <w:t xml:space="preserve">住户手册第四章原文约定热水费由管理根据运行成本制定。运行成本语义宽泛，天然包含人工、能源、维护等全部成本。物业将人工纳入热水费有合同依据，不构成重复收取。</w:t>
      </w:r>
    </w:p>
    <w:p>
      <w:pPr>
        <w:pStyle w:val="Heading3"/>
        <w:spacing w:after="80" w:before="180"/>
      </w:pPr>
      <w:r>
        <w:rPr>
          <w:rFonts w:ascii="Arial" w:cs="Arial" w:eastAsia="Arial" w:hAnsi="Arial"/>
          <w:b/>
          <w:bCs/>
          <w:color w:val="444444"/>
          <w:sz w:val="22"/>
          <w:szCs w:val="22"/>
        </w:rPr>
        <w:t xml:space="preserve">应对策略</w:t>
      </w:r>
    </w:p>
    <w:p>
      <w:pPr>
        <w:pStyle w:val="ListParagraph"/>
        <w:numPr>
          <w:ilvl w:val="0"/>
          <w:numId w:val="2"/>
        </w:numPr>
        <w:spacing w:after="40" w:before="40" w:line="300"/>
      </w:pPr>
      <w:r>
        <w:rPr>
          <w:rFonts w:ascii="Arial" w:cs="Arial" w:eastAsia="Arial" w:hAnsi="Arial"/>
          <w:color w:val="1A1A1A"/>
          <w:sz w:val="20"/>
          <w:szCs w:val="20"/>
        </w:rPr>
        <w:t xml:space="preserve">论点A（最强）：即便运行成本包含人工费，也不能解决双重支付问题。第四章只授权物业确定热水费的计算方式，不授权将已由物业费承担的成本再次向业主收取</w:t>
      </w:r>
    </w:p>
    <w:p>
      <w:pPr>
        <w:pStyle w:val="ListParagraph"/>
        <w:numPr>
          <w:ilvl w:val="0"/>
          <w:numId w:val="2"/>
        </w:numPr>
        <w:spacing w:after="40" w:before="40" w:line="300"/>
      </w:pPr>
      <w:r>
        <w:rPr>
          <w:rFonts w:ascii="Arial" w:cs="Arial" w:eastAsia="Arial" w:hAnsi="Arial"/>
          <w:color w:val="1A1A1A"/>
          <w:sz w:val="20"/>
          <w:szCs w:val="20"/>
        </w:rPr>
        <w:t xml:space="preserve">论点B：住户手册是物业单方格式文件，按《民法典》第498条应作不利于制定方的解释</w:t>
      </w:r>
    </w:p>
    <w:p>
      <w:pPr>
        <w:pStyle w:val="ListParagraph"/>
        <w:numPr>
          <w:ilvl w:val="0"/>
          <w:numId w:val="2"/>
        </w:numPr>
        <w:spacing w:after="40" w:before="40" w:line="300"/>
      </w:pPr>
      <w:r>
        <w:rPr>
          <w:rFonts w:ascii="Arial" w:cs="Arial" w:eastAsia="Arial" w:hAnsi="Arial"/>
          <w:color w:val="1A1A1A"/>
          <w:sz w:val="20"/>
          <w:szCs w:val="20"/>
        </w:rPr>
        <w:t xml:space="preserve">论点C：即便接受定价权存在，被告仍须证明已在物业费与热水费之间进行了成本隔离（账目分开），而非同一批人员的工资在两个收费体系中均有列支</w:t>
      </w:r>
    </w:p>
    <w:p>
      <w:pPr>
        <w:pStyle w:val="ListParagraph"/>
        <w:numPr>
          <w:ilvl w:val="0"/>
          <w:numId w:val="2"/>
        </w:numPr>
        <w:spacing w:after="40" w:before="40" w:line="300"/>
      </w:pPr>
      <w:r>
        <w:rPr>
          <w:rFonts w:ascii="Arial" w:cs="Arial" w:eastAsia="Arial" w:hAnsi="Arial"/>
          <w:color w:val="1A1A1A"/>
          <w:sz w:val="20"/>
          <w:szCs w:val="20"/>
        </w:rPr>
        <w:t xml:space="preserve">论点D：被告自委评估报告将31,814.23元/月人工明确列入热水费——恰好印证了人工费被实际计入热水费，与第三章第2条形成闭环</w:t>
      </w:r>
    </w:p>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攻击四：德同评估报告证明42元定价合理</w:t>
      </w:r>
    </w:p>
    <w:p>
      <w:pPr>
        <w:pStyle w:val="Heading3"/>
        <w:spacing w:after="80" w:before="180"/>
      </w:pPr>
      <w:r>
        <w:rPr>
          <w:rFonts w:ascii="Arial" w:cs="Arial" w:eastAsia="Arial" w:hAnsi="Arial"/>
          <w:b/>
          <w:bCs/>
          <w:color w:val="444444"/>
          <w:sz w:val="22"/>
          <w:szCs w:val="22"/>
        </w:rPr>
        <w:t xml:space="preserve">攻击逻辑</w:t>
      </w:r>
    </w:p>
    <w:p>
      <w:pPr>
        <w:spacing w:after="80" w:before="80" w:line="320"/>
        <w:jc w:val="left"/>
      </w:pPr>
      <w:r>
        <w:rPr>
          <w:rFonts w:ascii="Arial" w:cs="Arial" w:eastAsia="Arial" w:hAnsi="Arial"/>
          <w:b w:val="false"/>
          <w:bCs w:val="false"/>
          <w:i w:val="false"/>
          <w:iCs w:val="false"/>
          <w:color w:val="1A1A1A"/>
          <w:sz w:val="20"/>
          <w:szCs w:val="20"/>
        </w:rPr>
        <w:t xml:space="preserve">被告委托具有资质的第三方评估机构进行成本测算，报告显示热水运营存在亏损，42元已低于成本，对业主有利。</w:t>
      </w:r>
    </w:p>
    <w:p>
      <w:pPr>
        <w:pStyle w:val="Heading3"/>
        <w:spacing w:after="80" w:before="180"/>
      </w:pPr>
      <w:r>
        <w:rPr>
          <w:rFonts w:ascii="Arial" w:cs="Arial" w:eastAsia="Arial" w:hAnsi="Arial"/>
          <w:b/>
          <w:bCs/>
          <w:color w:val="444444"/>
          <w:sz w:val="22"/>
          <w:szCs w:val="22"/>
        </w:rPr>
        <w:t xml:space="preserve">应对策略</w:t>
      </w:r>
    </w:p>
    <w:p>
      <w:pPr>
        <w:pStyle w:val="ListParagraph"/>
        <w:numPr>
          <w:ilvl w:val="0"/>
          <w:numId w:val="2"/>
        </w:numPr>
        <w:spacing w:after="40" w:before="40" w:line="300"/>
      </w:pPr>
      <w:r>
        <w:rPr>
          <w:rFonts w:ascii="Arial" w:cs="Arial" w:eastAsia="Arial" w:hAnsi="Arial"/>
          <w:color w:val="1A1A1A"/>
          <w:sz w:val="20"/>
          <w:szCs w:val="20"/>
        </w:rPr>
        <w:t xml:space="preserve">报告测算最低值49.45元仍高于42元，报告无法证明42元合理——这是报告数字本身的逻辑矛盾</w:t>
      </w:r>
    </w:p>
    <w:p>
      <w:pPr>
        <w:pStyle w:val="ListParagraph"/>
        <w:numPr>
          <w:ilvl w:val="0"/>
          <w:numId w:val="2"/>
        </w:numPr>
        <w:spacing w:after="40" w:before="40" w:line="300"/>
      </w:pPr>
      <w:r>
        <w:rPr>
          <w:rFonts w:ascii="Arial" w:cs="Arial" w:eastAsia="Arial" w:hAnsi="Arial"/>
          <w:color w:val="1A1A1A"/>
          <w:sz w:val="20"/>
          <w:szCs w:val="20"/>
        </w:rPr>
        <w:t xml:space="preserve">报告明确声明所有数据由委托人（被告）提供，德同公司不对数据真实性负责</w:t>
      </w:r>
    </w:p>
    <w:p>
      <w:pPr>
        <w:pStyle w:val="ListParagraph"/>
        <w:numPr>
          <w:ilvl w:val="0"/>
          <w:numId w:val="2"/>
        </w:numPr>
        <w:spacing w:after="40" w:before="40" w:line="300"/>
      </w:pPr>
      <w:r>
        <w:rPr>
          <w:rFonts w:ascii="Arial" w:cs="Arial" w:eastAsia="Arial" w:hAnsi="Arial"/>
          <w:color w:val="1A1A1A"/>
          <w:sz w:val="20"/>
          <w:szCs w:val="20"/>
        </w:rPr>
        <w:t xml:space="preserve">报告明确说明"最终评估结果仅作为定价参考，不能完全等同定价"——被告援引该报告超出其自身使用边界声明</w:t>
      </w:r>
    </w:p>
    <w:p>
      <w:pPr>
        <w:pStyle w:val="ListParagraph"/>
        <w:numPr>
          <w:ilvl w:val="0"/>
          <w:numId w:val="2"/>
        </w:numPr>
        <w:spacing w:after="40" w:before="40" w:line="300"/>
      </w:pPr>
      <w:r>
        <w:rPr>
          <w:rFonts w:ascii="Arial" w:cs="Arial" w:eastAsia="Arial" w:hAnsi="Arial"/>
          <w:color w:val="1A1A1A"/>
          <w:sz w:val="20"/>
          <w:szCs w:val="20"/>
        </w:rPr>
        <w:t xml:space="preserve">德同公司持有的是"住宅物业服务价格评估"备案资质，并非热力工程资质，超出资质范围</w:t>
      </w:r>
    </w:p>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攻击五：物业自行改造为多能源系统，属于对业主有利的行为</w:t>
      </w:r>
    </w:p>
    <w:p>
      <w:pPr>
        <w:pStyle w:val="Heading3"/>
        <w:spacing w:after="80" w:before="180"/>
      </w:pPr>
      <w:r>
        <w:rPr>
          <w:rFonts w:ascii="Arial" w:cs="Arial" w:eastAsia="Arial" w:hAnsi="Arial"/>
          <w:b/>
          <w:bCs/>
          <w:color w:val="444444"/>
          <w:sz w:val="22"/>
          <w:szCs w:val="22"/>
        </w:rPr>
        <w:t xml:space="preserve">攻击逻辑</w:t>
      </w:r>
    </w:p>
    <w:p>
      <w:pPr>
        <w:spacing w:after="80" w:before="80" w:line="320"/>
        <w:jc w:val="left"/>
      </w:pPr>
      <w:r>
        <w:rPr>
          <w:rFonts w:ascii="Arial" w:cs="Arial" w:eastAsia="Arial" w:hAnsi="Arial"/>
          <w:b w:val="false"/>
          <w:bCs w:val="false"/>
          <w:i w:val="false"/>
          <w:iCs w:val="false"/>
          <w:color w:val="1A1A1A"/>
          <w:sz w:val="20"/>
          <w:szCs w:val="20"/>
        </w:rPr>
        <w:t xml:space="preserve">物业将单一锅炉改造为多能源协同系统，使成本从62.75元降至49.45元，体现了物业主动降低业主负担的善意，且在42元收费上还在"自行贴差价"。</w:t>
      </w:r>
    </w:p>
    <w:p>
      <w:pPr>
        <w:pStyle w:val="Heading3"/>
        <w:spacing w:after="80" w:before="180"/>
      </w:pPr>
      <w:r>
        <w:rPr>
          <w:rFonts w:ascii="Arial" w:cs="Arial" w:eastAsia="Arial" w:hAnsi="Arial"/>
          <w:b/>
          <w:bCs/>
          <w:color w:val="444444"/>
          <w:sz w:val="22"/>
          <w:szCs w:val="22"/>
        </w:rPr>
        <w:t xml:space="preserve">应对策略</w:t>
      </w:r>
    </w:p>
    <w:p>
      <w:pPr>
        <w:pStyle w:val="ListParagraph"/>
        <w:numPr>
          <w:ilvl w:val="0"/>
          <w:numId w:val="2"/>
        </w:numPr>
        <w:spacing w:after="40" w:before="40" w:line="300"/>
      </w:pPr>
      <w:r>
        <w:rPr>
          <w:rFonts w:ascii="Arial" w:cs="Arial" w:eastAsia="Arial" w:hAnsi="Arial"/>
          <w:color w:val="1A1A1A"/>
          <w:sz w:val="20"/>
          <w:szCs w:val="20"/>
        </w:rPr>
        <w:t xml:space="preserve">私自改造共用设备涉及《民法典》第278条：改建共用设施须经专有部分面积2/3以上及人数2/3以上业主表决且3/4以上通过——物业是否经过合法表决，是本案另一核心争议</w:t>
      </w:r>
    </w:p>
    <w:p>
      <w:pPr>
        <w:pStyle w:val="ListParagraph"/>
        <w:numPr>
          <w:ilvl w:val="0"/>
          <w:numId w:val="2"/>
        </w:numPr>
        <w:spacing w:after="40" w:before="40" w:line="300"/>
      </w:pPr>
      <w:r>
        <w:rPr>
          <w:rFonts w:ascii="Arial" w:cs="Arial" w:eastAsia="Arial" w:hAnsi="Arial"/>
          <w:color w:val="1A1A1A"/>
          <w:sz w:val="20"/>
          <w:szCs w:val="20"/>
        </w:rPr>
        <w:t xml:space="preserve">"自行贴差价"仅为口头陈述，需要被告提供每月热水业务实际盈亏账目证明</w:t>
      </w:r>
    </w:p>
    <w:p>
      <w:pPr>
        <w:pStyle w:val="ListParagraph"/>
        <w:numPr>
          <w:ilvl w:val="0"/>
          <w:numId w:val="2"/>
        </w:numPr>
        <w:spacing w:after="40" w:before="40" w:line="300"/>
      </w:pPr>
      <w:r>
        <w:rPr>
          <w:rFonts w:ascii="Arial" w:cs="Arial" w:eastAsia="Arial" w:hAnsi="Arial"/>
          <w:color w:val="1A1A1A"/>
          <w:sz w:val="20"/>
          <w:szCs w:val="20"/>
        </w:rPr>
        <w:t xml:space="preserve">即便接受"贴差价"成立，人工费重复收取问题仍独立存在——"贴差价"只能解释总价，无法解释同一笔人工成本被同时计入两个收费科目的结构性问题</w:t>
      </w:r>
    </w:p>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攻击六：热水收费属于增值服务，与物业基础服务费相互独立</w:t>
      </w:r>
    </w:p>
    <w:p>
      <w:pPr>
        <w:pStyle w:val="Heading3"/>
        <w:spacing w:after="80" w:before="180"/>
      </w:pPr>
      <w:r>
        <w:rPr>
          <w:rFonts w:ascii="Arial" w:cs="Arial" w:eastAsia="Arial" w:hAnsi="Arial"/>
          <w:b/>
          <w:bCs/>
          <w:color w:val="444444"/>
          <w:sz w:val="22"/>
          <w:szCs w:val="22"/>
        </w:rPr>
        <w:t xml:space="preserve">攻击逻辑</w:t>
      </w:r>
    </w:p>
    <w:p>
      <w:pPr>
        <w:spacing w:after="80" w:before="80" w:line="320"/>
        <w:jc w:val="left"/>
      </w:pPr>
      <w:r>
        <w:rPr>
          <w:rFonts w:ascii="Arial" w:cs="Arial" w:eastAsia="Arial" w:hAnsi="Arial"/>
          <w:b w:val="false"/>
          <w:bCs w:val="false"/>
          <w:i w:val="false"/>
          <w:iCs w:val="false"/>
          <w:color w:val="1A1A1A"/>
          <w:sz w:val="20"/>
          <w:szCs w:val="20"/>
        </w:rPr>
        <w:t xml:space="preserve">热水供应属于超出基础物业服务范围的增值服务，可以单独定价，人工成本自然可以独立核算。</w:t>
      </w:r>
    </w:p>
    <w:p>
      <w:pPr>
        <w:pStyle w:val="Heading3"/>
        <w:spacing w:after="80" w:before="180"/>
      </w:pPr>
      <w:r>
        <w:rPr>
          <w:rFonts w:ascii="Arial" w:cs="Arial" w:eastAsia="Arial" w:hAnsi="Arial"/>
          <w:b/>
          <w:bCs/>
          <w:color w:val="444444"/>
          <w:sz w:val="22"/>
          <w:szCs w:val="22"/>
        </w:rPr>
        <w:t xml:space="preserve">应对策略</w:t>
      </w:r>
    </w:p>
    <w:p>
      <w:pPr>
        <w:pStyle w:val="ListParagraph"/>
        <w:numPr>
          <w:ilvl w:val="0"/>
          <w:numId w:val="2"/>
        </w:numPr>
        <w:spacing w:after="40" w:before="40" w:line="300"/>
      </w:pPr>
      <w:r>
        <w:rPr>
          <w:rFonts w:ascii="Arial" w:cs="Arial" w:eastAsia="Arial" w:hAnsi="Arial"/>
          <w:color w:val="1A1A1A"/>
          <w:sz w:val="20"/>
          <w:szCs w:val="20"/>
        </w:rPr>
        <w:t xml:space="preserve">物业服务合同附件三明确将热水系统纳入物业服务约定范围，并承诺"保证热水温度不低于40度"——既已列入合同义务，则不属于额外增值服务</w:t>
      </w:r>
    </w:p>
    <w:p>
      <w:pPr>
        <w:pStyle w:val="ListParagraph"/>
        <w:numPr>
          <w:ilvl w:val="0"/>
          <w:numId w:val="2"/>
        </w:numPr>
        <w:spacing w:after="40" w:before="40" w:line="300"/>
      </w:pPr>
      <w:r>
        <w:rPr>
          <w:rFonts w:ascii="Arial" w:cs="Arial" w:eastAsia="Arial" w:hAnsi="Arial"/>
          <w:color w:val="1A1A1A"/>
          <w:sz w:val="20"/>
          <w:szCs w:val="20"/>
        </w:rPr>
        <w:t xml:space="preserve">增值服务须经业主大会另行决议或单独签署服务合同，被告从未就热水服务签署独立收费合同，亦未经业主大会授权单独定价</w:t>
      </w:r>
    </w:p>
    <w:p>
      <w:pPr>
        <w:pStyle w:val="ListParagraph"/>
        <w:numPr>
          <w:ilvl w:val="0"/>
          <w:numId w:val="2"/>
        </w:numPr>
        <w:spacing w:after="40" w:before="40" w:line="300"/>
      </w:pPr>
      <w:r>
        <w:rPr>
          <w:rFonts w:ascii="Arial" w:cs="Arial" w:eastAsia="Arial" w:hAnsi="Arial"/>
          <w:color w:val="1A1A1A"/>
          <w:sz w:val="20"/>
          <w:szCs w:val="20"/>
        </w:rPr>
        <w:t xml:space="preserve">即便认定为增值服务，其成本构成中的人工成本同样须避免与物业基础服务费重复</w:t>
      </w:r>
    </w:p>
    <w:p>
      <w:pPr>
        <w:spacing w:after="0" w:before="0"/>
      </w:pPr>
      <w:r>
        <w:t xml:space="preserve"/>
      </w:r>
    </w:p>
    <w:p>
      <w:pPr>
        <w:pStyle w:val="Heading1"/>
        <w:pageBreakBefore/>
        <w:shd w:fill="1B4F72" w:val="clear"/>
        <w:spacing w:after="160" w:before="0"/>
        <w:ind w:left="200" w:right="200"/>
      </w:pPr>
      <w:r>
        <w:rPr>
          <w:rFonts w:ascii="Arial" w:cs="Arial" w:eastAsia="Arial" w:hAnsi="Arial"/>
          <w:b/>
          <w:bCs/>
          <w:color w:val="FFFFFF"/>
          <w:sz w:val="32"/>
          <w:szCs w:val="32"/>
        </w:rPr>
        <w:t xml:space="preserve">十、"贴差价"抗辩的四个内部漏洞</w:t>
      </w:r>
    </w:p>
    <w:p>
      <w:pPr>
        <w:spacing w:after="80" w:before="80" w:line="320"/>
        <w:jc w:val="left"/>
      </w:pPr>
      <w:r>
        <w:rPr>
          <w:rFonts w:ascii="Arial" w:cs="Arial" w:eastAsia="Arial" w:hAnsi="Arial"/>
          <w:b w:val="false"/>
          <w:bCs w:val="false"/>
          <w:i w:val="false"/>
          <w:iCs w:val="false"/>
          <w:color w:val="1A1A1A"/>
          <w:sz w:val="20"/>
          <w:szCs w:val="20"/>
        </w:rPr>
        <w:t xml:space="preserve">被告提出"物业自己贴差价、只收42元"的抗辩。本章从被告自身文件出发，指出该抗辩的四个无法自圆其说之处。</w:t>
      </w:r>
    </w:p>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漏洞一：42元若已亏损，被告为何在2022年不提供账目说明</w:t>
      </w:r>
    </w:p>
    <w:p>
      <w:pPr>
        <w:spacing w:after="80" w:before="80" w:line="320"/>
        <w:jc w:val="left"/>
      </w:pPr>
      <w:r>
        <w:rPr>
          <w:rFonts w:ascii="Arial" w:cs="Arial" w:eastAsia="Arial" w:hAnsi="Arial"/>
          <w:b w:val="false"/>
          <w:bCs w:val="false"/>
          <w:i w:val="false"/>
          <w:iCs w:val="false"/>
          <w:color w:val="1A1A1A"/>
          <w:sz w:val="20"/>
          <w:szCs w:val="20"/>
        </w:rPr>
        <w:t xml:space="preserve">若42元确实低于成本，导致业主受益，正常的商业逻辑是物业会定期向业主出示盈亏账目，说明补贴事实。但被告从未主动提供过热水业务独立的盈亏说明——直到被起诉才提交成本资料。</w:t>
      </w:r>
    </w:p>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漏洞二：德同报告自证无法同时存在两种叙事</w:t>
      </w:r>
    </w:p>
    <w:p>
      <w:pPr>
        <w:spacing w:after="80" w:before="80" w:line="320"/>
        <w:jc w:val="left"/>
      </w:pPr>
      <w:r>
        <w:rPr>
          <w:rFonts w:ascii="Arial" w:cs="Arial" w:eastAsia="Arial" w:hAnsi="Arial"/>
          <w:b w:val="false"/>
          <w:bCs w:val="false"/>
          <w:i w:val="false"/>
          <w:iCs w:val="false"/>
          <w:color w:val="1A1A1A"/>
          <w:sz w:val="20"/>
          <w:szCs w:val="20"/>
        </w:rPr>
        <w:t xml:space="preserve">德同报告的测算值（49.45元/立方）高于42元，这意味着按该报告的逻辑，物业"每立方贴差7.45元"。但同一份报告将31,814.23元/月人工费列入热水成本——若剔除这笔本应由物业费承担的人工，42元收费下热水业务实际盈利，"贴差价"叙事彻底崩塌。</w:t>
      </w:r>
    </w:p>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漏洞三：能源公司季度退款未冲减成本</w:t>
      </w:r>
    </w:p>
    <w:p>
      <w:pPr>
        <w:spacing w:after="80" w:before="80" w:line="320"/>
        <w:jc w:val="left"/>
      </w:pPr>
      <w:r>
        <w:rPr>
          <w:rFonts w:ascii="Arial" w:cs="Arial" w:eastAsia="Arial" w:hAnsi="Arial"/>
          <w:b w:val="false"/>
          <w:bCs w:val="false"/>
          <w:i w:val="false"/>
          <w:iCs w:val="false"/>
          <w:color w:val="1A1A1A"/>
          <w:sz w:val="20"/>
          <w:szCs w:val="20"/>
        </w:rPr>
        <w:t xml:space="preserve">能源管理合同约定能源公司每季返还被告8,000元（年化32,000元），结算单注明与"人工费"相关，但被告的热水成本分摊表从未将此返款从支出中冲减。同一笔人工费被向能源公司计收一次、向业主计收一次，"贴差价"的前提成本数字本身存在虚增。</w:t>
      </w:r>
    </w:p>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漏洞四：改造决策未经业主授权</w:t>
      </w:r>
    </w:p>
    <w:p>
      <w:pPr>
        <w:spacing w:after="80" w:before="80" w:line="320"/>
        <w:jc w:val="left"/>
      </w:pPr>
      <w:r>
        <w:rPr>
          <w:rFonts w:ascii="Arial" w:cs="Arial" w:eastAsia="Arial" w:hAnsi="Arial"/>
          <w:b w:val="false"/>
          <w:bCs w:val="false"/>
          <w:i w:val="false"/>
          <w:iCs w:val="false"/>
          <w:color w:val="1A1A1A"/>
          <w:sz w:val="20"/>
          <w:szCs w:val="20"/>
        </w:rPr>
        <w:t xml:space="preserve">被告以"改造为多能源降低成本"作为道德加分项，但共用设施改造须经《民法典》第278条规定的2/3业主表决。若改造从未经业主授权，被告不能从未经授权的改造行为中为自己背书。</w:t>
      </w:r>
    </w:p>
    <w:p>
      <w:pPr>
        <w:spacing w:after="0" w:before="0"/>
      </w:pPr>
      <w:r>
        <w:t xml:space="preserve"/>
      </w:r>
    </w:p>
    <w:p>
      <w:pPr>
        <w:pStyle w:val="Heading1"/>
        <w:pageBreakBefore/>
        <w:shd w:fill="1B4F72" w:val="clear"/>
        <w:spacing w:after="160" w:before="0"/>
        <w:ind w:left="200" w:right="200"/>
      </w:pPr>
      <w:r>
        <w:rPr>
          <w:rFonts w:ascii="Arial" w:cs="Arial" w:eastAsia="Arial" w:hAnsi="Arial"/>
          <w:b/>
          <w:bCs/>
          <w:color w:val="FFFFFF"/>
          <w:sz w:val="32"/>
          <w:szCs w:val="32"/>
        </w:rPr>
        <w:t xml:space="preserve">十一、被告7×24小时专职值守主张的必要性分析</w:t>
      </w:r>
    </w:p>
    <w:p>
      <w:pPr>
        <w:spacing w:after="80" w:before="80" w:line="320"/>
        <w:jc w:val="left"/>
      </w:pPr>
      <w:r>
        <w:rPr>
          <w:rFonts w:ascii="Arial" w:cs="Arial" w:eastAsia="Arial" w:hAnsi="Arial"/>
          <w:b w:val="false"/>
          <w:bCs w:val="false"/>
          <w:i w:val="false"/>
          <w:iCs w:val="false"/>
          <w:color w:val="1A1A1A"/>
          <w:sz w:val="20"/>
          <w:szCs w:val="20"/>
        </w:rPr>
        <w:t xml:space="preserve">被告在人工成本中列入司炉工2人+机动岗1人全年不间断值守，以此作为热水费人工成本的计算依据。本章从设备技术特性、适用法规和能源管理合同三个角度，证明该配置在技术上不必要、在法规上无依据、在合同设计上相互矛盾。</w:t>
      </w:r>
    </w:p>
    <w:p>
      <w:pPr>
        <w:spacing w:after="0" w:before="0"/>
      </w:pPr>
      <w:r>
        <w:t xml:space="preserve"/>
      </w:r>
    </w:p>
    <w:tbl>
      <w:tblPr>
        <w:tblW w:type="dxa" w:w="9506"/>
        <w:tblBorders>
          <w:top w:val="single" w:color="1B4F72" w:sz="12"/>
          <w:left w:val="single" w:color="1B4F72" w:sz="12"/>
          <w:bottom w:val="single" w:color="1B4F72" w:sz="4"/>
          <w:right w:val="single" w:color="1B4F72"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D6EAF8" w:val="clear"/>
            <w:tcMar>
              <w:top w:type="dxa" w:w="100"/>
              <w:left w:type="dxa" w:w="160"/>
              <w:bottom w:type="dxa" w:w="100"/>
              <w:right w:type="dxa" w:w="160"/>
            </w:tcMar>
          </w:tcPr>
          <w:p>
            <w:pPr>
              <w:spacing w:after="60" w:before="0"/>
            </w:pPr>
            <w:r>
              <w:rPr>
                <w:rFonts w:ascii="Arial" w:cs="Arial" w:eastAsia="Arial" w:hAnsi="Arial"/>
                <w:b/>
                <w:bCs/>
                <w:color w:val="1B4F72"/>
                <w:sz w:val="20"/>
                <w:szCs w:val="20"/>
              </w:rPr>
              <w:t xml:space="preserve">核心结论：</w:t>
            </w:r>
          </w:p>
          <w:p>
            <w:pPr>
              <w:spacing w:after="20" w:before="0" w:line="300"/>
            </w:pPr>
            <w:r>
              <w:rPr>
                <w:rFonts w:ascii="Arial" w:cs="Arial" w:eastAsia="Arial" w:hAnsi="Arial"/>
                <w:color w:val="1A1A1A"/>
                <w:sz w:val="19"/>
                <w:szCs w:val="19"/>
              </w:rPr>
              <w:t xml:space="preserve">当前圣天地公寓热水系统以空气源热泵和太阳能为主力（全自动运行），燃气锅炉仅为冬季辅助（每天运行约6小时）。现行法规对燃气锅炉的要求是运行期间每班1人，而非全年7×24小时专职值守。被告主张的人工配置在法规和技术层面均无必要性依据。</w:t>
            </w:r>
          </w:p>
        </w:tc>
      </w:tr>
    </w:tbl>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11.1 设备构成决定的运营模式</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1600"/>
        <w:gridCol w:w="2106"/>
      </w:tblGrid>
      <w:tr>
        <w:trPr>
          <w:tblHeader/>
        </w:trPr>
        <w:tc>
          <w:tcPr>
            <w:tcW w:type="dxa" w:w="22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设备类型</w:t>
            </w:r>
          </w:p>
        </w:tc>
        <w:tc>
          <w:tcPr>
            <w:tcW w:type="dxa" w:w="20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运行方式</w:t>
            </w:r>
          </w:p>
        </w:tc>
        <w:tc>
          <w:tcPr>
            <w:tcW w:type="dxa" w:w="16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每日运行时长</w:t>
            </w:r>
          </w:p>
        </w:tc>
        <w:tc>
          <w:tcPr>
            <w:tcW w:type="dxa" w:w="16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启用时段</w:t>
            </w:r>
          </w:p>
        </w:tc>
        <w:tc>
          <w:tcPr>
            <w:tcW w:type="dxa" w:w="2106"/>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是否需要专职值守</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空气源热泵（13台，主力）</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全自动，系统自动启停</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每天约4小时</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全年</w:t>
            </w:r>
          </w:p>
        </w:tc>
        <w:tc>
          <w:tcPr>
            <w:tcW w:type="dxa" w:w="2106"/>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E8449"/>
                <w:sz w:val="19"/>
                <w:szCs w:val="19"/>
              </w:rPr>
              <w:t xml:space="preserve">不需要（非特种设备，无法规要求）</w:t>
            </w:r>
          </w:p>
        </w:tc>
      </w:tr>
      <w:tr>
        <w:tc>
          <w:tcPr>
            <w:tcW w:type="dxa" w:w="22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太阳能系统（2套）</w:t>
            </w:r>
          </w:p>
        </w:tc>
        <w:tc>
          <w:tcPr>
            <w:tcW w:type="dxa" w:w="20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全自动，控制器按温度调节</w:t>
            </w:r>
          </w:p>
        </w:tc>
        <w:tc>
          <w:tcPr>
            <w:tcW w:type="dxa" w:w="16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日照期间自动运行</w:t>
            </w:r>
          </w:p>
        </w:tc>
        <w:tc>
          <w:tcPr>
            <w:tcW w:type="dxa" w:w="16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全年（6-9月峰值）</w:t>
            </w:r>
          </w:p>
        </w:tc>
        <w:tc>
          <w:tcPr>
            <w:tcW w:type="dxa" w:w="2106"/>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E8449"/>
                <w:sz w:val="19"/>
                <w:szCs w:val="19"/>
              </w:rPr>
              <w:t xml:space="preserve">不需要（全自动，仅需定期维护）</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电加热（16组）</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全自动辅助补热</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每天约3小时</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全年</w:t>
            </w:r>
          </w:p>
        </w:tc>
        <w:tc>
          <w:tcPr>
            <w:tcW w:type="dxa" w:w="2106"/>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E8449"/>
                <w:sz w:val="19"/>
                <w:szCs w:val="19"/>
              </w:rPr>
              <w:t xml:space="preserve">不需要（自动控制）</w:t>
            </w:r>
          </w:p>
        </w:tc>
      </w:tr>
      <w:tr>
        <w:tc>
          <w:tcPr>
            <w:tcW w:type="dxa" w:w="22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燃气锅炉（2台，辅助）</w:t>
            </w:r>
          </w:p>
        </w:tc>
        <w:tc>
          <w:tcPr>
            <w:tcW w:type="dxa" w:w="20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低温时辅助启动</w:t>
            </w:r>
          </w:p>
        </w:tc>
        <w:tc>
          <w:tcPr>
            <w:tcW w:type="dxa" w:w="16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922B21"/>
                <w:sz w:val="19"/>
                <w:szCs w:val="19"/>
              </w:rPr>
              <w:t xml:space="preserve">每天约6小时，运行率25%</w:t>
            </w:r>
          </w:p>
        </w:tc>
        <w:tc>
          <w:tcPr>
            <w:tcW w:type="dxa" w:w="16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922B21"/>
                <w:sz w:val="19"/>
                <w:szCs w:val="19"/>
              </w:rPr>
              <w:t xml:space="preserve">仅12月至次年3月，约4个月</w:t>
            </w:r>
          </w:p>
        </w:tc>
        <w:tc>
          <w:tcPr>
            <w:tcW w:type="dxa" w:w="2106"/>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922B21"/>
                <w:sz w:val="19"/>
                <w:szCs w:val="19"/>
              </w:rPr>
              <w:t xml:space="preserve">运行期间每班1人（法规要求）</w:t>
            </w:r>
          </w:p>
        </w:tc>
      </w:tr>
    </w:tbl>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11.2 法规对燃气锅炉司炉工的实际要求</w:t>
      </w:r>
    </w:p>
    <w:p>
      <w:pPr>
        <w:pBdr>
          <w:left w:val="single" w:color="1B4F72" w:sz="12"/>
        </w:pBdr>
        <w:shd w:fill="F8FAFC" w:val="clear"/>
        <w:spacing w:after="80" w:before="80" w:line="300"/>
        <w:ind w:left="600" w:right="400"/>
      </w:pPr>
      <w:r>
        <w:rPr>
          <w:rFonts w:ascii="Arial" w:cs="Arial" w:eastAsia="Arial" w:hAnsi="Arial"/>
          <w:i/>
          <w:iCs/>
          <w:color w:val="444444"/>
          <w:sz w:val="19"/>
          <w:szCs w:val="19"/>
        </w:rPr>
        <w:t xml:space="preserve">"TSG G0001-2012《锅炉安全技术监察规程》：燃油（气）锅炉，每班锅炉司炉人员1人，水处理作业人员1人"</w:t>
      </w:r>
    </w:p>
    <w:tbl>
      <w:tblPr>
        <w:tblW w:type="dxa" w:w="9506"/>
        <w:tblBorders>
          <w:top w:val="single" w:color="922B21" w:sz="12"/>
          <w:left w:val="single" w:color="922B21" w:sz="12"/>
          <w:bottom w:val="single" w:color="922B21" w:sz="4"/>
          <w:right w:val="single" w:color="922B21"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FADBD8" w:val="clear"/>
            <w:tcMar>
              <w:top w:type="dxa" w:w="100"/>
              <w:left w:type="dxa" w:w="160"/>
              <w:bottom w:type="dxa" w:w="100"/>
              <w:right w:type="dxa" w:w="160"/>
            </w:tcMar>
          </w:tcPr>
          <w:p>
            <w:pPr>
              <w:spacing w:after="60" w:before="0"/>
            </w:pPr>
            <w:r>
              <w:rPr>
                <w:rFonts w:ascii="Arial" w:cs="Arial" w:eastAsia="Arial" w:hAnsi="Arial"/>
                <w:b/>
                <w:bCs/>
                <w:color w:val="922B21"/>
                <w:sz w:val="20"/>
                <w:szCs w:val="20"/>
              </w:rPr>
              <w:t xml:space="preserve">法规要求与被告主张的差距：</w:t>
            </w:r>
          </w:p>
          <w:p>
            <w:pPr>
              <w:spacing w:after="20" w:before="0" w:line="300"/>
            </w:pPr>
            <w:r>
              <w:rPr>
                <w:rFonts w:ascii="Arial" w:cs="Arial" w:eastAsia="Arial" w:hAnsi="Arial"/>
                <w:color w:val="1A1A1A"/>
                <w:sz w:val="19"/>
                <w:szCs w:val="19"/>
              </w:rPr>
              <w:t xml:space="preserve">法规：燃气锅炉运行期间每班最低1人</w:t>
            </w:r>
          </w:p>
          <w:p>
            <w:pPr>
              <w:spacing w:after="20" w:before="0" w:line="300"/>
            </w:pPr>
            <w:r>
              <w:rPr>
                <w:rFonts w:ascii="Arial" w:cs="Arial" w:eastAsia="Arial" w:hAnsi="Arial"/>
                <w:color w:val="1A1A1A"/>
                <w:sz w:val="19"/>
                <w:szCs w:val="19"/>
              </w:rPr>
              <w:t xml:space="preserve">被告主张：全年司炉工2人+机动岗1人不间断值守（即3人×365天×24小时）</w:t>
            </w:r>
          </w:p>
          <w:p>
            <w:pPr>
              <w:spacing w:after="20" w:before="0" w:line="300"/>
            </w:pPr>
            <w:r>
              <w:rPr>
                <w:rFonts w:ascii="Arial" w:cs="Arial" w:eastAsia="Arial" w:hAnsi="Arial"/>
                <w:color w:val="1A1A1A"/>
                <w:sz w:val="19"/>
                <w:szCs w:val="19"/>
              </w:rPr>
              <w:t xml:space="preserve">被告配置远超法规最低要求，且将非运行期间的人工成本也全部计入热水费，无法规依据。</w:t>
            </w:r>
          </w:p>
        </w:tc>
      </w:tr>
    </w:tbl>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11.3 能源管理合同明确否定了长期专职值守的必要性</w:t>
      </w:r>
    </w:p>
    <w:p>
      <w:pPr>
        <w:pBdr>
          <w:left w:val="single" w:color="1B4F72" w:sz="12"/>
        </w:pBdr>
        <w:shd w:fill="F8FAFC" w:val="clear"/>
        <w:spacing w:after="80" w:before="80" w:line="300"/>
        <w:ind w:left="600" w:right="400"/>
      </w:pPr>
      <w:r>
        <w:rPr>
          <w:rFonts w:ascii="Arial" w:cs="Arial" w:eastAsia="Arial" w:hAnsi="Arial"/>
          <w:i/>
          <w:iCs/>
          <w:color w:val="444444"/>
          <w:sz w:val="19"/>
          <w:szCs w:val="19"/>
        </w:rPr>
        <w:t xml:space="preserve">"能源管理合同第7.3条：……乙方必须派专人至甲方工程部配合日常管理，保证甲方管理人员能独立熟练操作设备，并能简单排除故障。乙方现场管理人员的工资、福利等相关培训费用由乙方承担。"</w:t>
      </w:r>
    </w:p>
    <w:p>
      <w:pPr>
        <w:spacing w:after="80" w:before="80" w:line="320"/>
        <w:jc w:val="left"/>
      </w:pPr>
      <w:r>
        <w:rPr>
          <w:rFonts w:ascii="Arial" w:cs="Arial" w:eastAsia="Arial" w:hAnsi="Arial"/>
          <w:b w:val="false"/>
          <w:bCs w:val="false"/>
          <w:i w:val="false"/>
          <w:iCs w:val="false"/>
          <w:color w:val="1A1A1A"/>
          <w:sz w:val="20"/>
          <w:szCs w:val="20"/>
        </w:rPr>
        <w:t xml:space="preserve">合同的设计目标是物业现有工程维修人员能够自主管理，而非额外雇用专职司炉工。合同第7.5条约定的是4小时到场响应，不是24小时驻守。</w:t>
      </w:r>
    </w:p>
    <w:p>
      <w:pPr>
        <w:spacing w:after="0" w:before="0"/>
      </w:pPr>
      <w:r>
        <w:t xml:space="preserve"/>
      </w:r>
    </w:p>
    <w:p>
      <w:r>
        <w:br w:type="page"/>
      </w:r>
    </w:p>
    <w:p>
      <w:pPr>
        <w:pStyle w:val="Heading1"/>
        <w:shd w:fill="1B4F72" w:val="clear"/>
        <w:spacing w:after="160" w:before="0"/>
        <w:ind w:left="200" w:right="200"/>
      </w:pPr>
      <w:r>
        <w:rPr>
          <w:rFonts w:ascii="Arial" w:cs="Arial" w:eastAsia="Arial" w:hAnsi="Arial"/>
          <w:b/>
          <w:bCs/>
          <w:color w:val="FFFFFF"/>
          <w:sz w:val="32"/>
          <w:szCs w:val="32"/>
        </w:rPr>
        <w:t xml:space="preserve">十二、应对"包干制下双重劳动、双重报酬"论点</w:t>
      </w:r>
    </w:p>
    <w:p>
      <w:pPr>
        <w:spacing w:after="80" w:before="80" w:line="320"/>
        <w:jc w:val="left"/>
      </w:pPr>
      <w:r>
        <w:rPr>
          <w:rFonts w:ascii="Arial" w:cs="Arial" w:eastAsia="Arial" w:hAnsi="Arial"/>
          <w:b w:val="false"/>
          <w:bCs w:val="false"/>
          <w:i w:val="false"/>
          <w:iCs w:val="false"/>
          <w:color w:val="1A1A1A"/>
          <w:sz w:val="20"/>
          <w:szCs w:val="20"/>
        </w:rPr>
        <w:t xml:space="preserve">被告方可能提出：同一批人员分别执行物业服务和热水服务两项工作，因此理应获得两份报酬；物业费对应物业服务劳动，热水费对应热水经营劳动，两者并不重复。本章逐层拆解该论点。</w:t>
      </w:r>
    </w:p>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12.1 包干制法律含义：人工成本已被物业费覆盖</w:t>
      </w:r>
    </w:p>
    <w:p>
      <w:pPr>
        <w:pBdr>
          <w:left w:val="single" w:color="1B4F72" w:sz="12"/>
        </w:pBdr>
        <w:shd w:fill="F8FAFC" w:val="clear"/>
        <w:spacing w:after="80" w:before="80" w:line="300"/>
        <w:ind w:left="600" w:right="400"/>
      </w:pPr>
      <w:r>
        <w:rPr>
          <w:rFonts w:ascii="Arial" w:cs="Arial" w:eastAsia="Arial" w:hAnsi="Arial"/>
          <w:i/>
          <w:iCs/>
          <w:color w:val="444444"/>
          <w:sz w:val="19"/>
          <w:szCs w:val="19"/>
        </w:rPr>
        <w:t xml:space="preserve">"《物业服务收费管理办法》第十一条：实行物业服务费用包干制的，物业服务费用的构成包括……物业服务成本的构成包括：（一）管理服务人员的工资、社会保险和按规定提取的福利费等……"</w:t>
      </w:r>
    </w:p>
    <w:p>
      <w:pPr>
        <w:spacing w:after="80" w:before="80" w:line="320"/>
        <w:jc w:val="left"/>
      </w:pPr>
      <w:r>
        <w:rPr>
          <w:rFonts w:ascii="Arial" w:cs="Arial" w:eastAsia="Arial" w:hAnsi="Arial"/>
          <w:b w:val="false"/>
          <w:bCs w:val="false"/>
          <w:i w:val="false"/>
          <w:iCs w:val="false"/>
          <w:color w:val="1A1A1A"/>
          <w:sz w:val="20"/>
          <w:szCs w:val="20"/>
        </w:rPr>
        <w:t xml:space="preserve">在包干制下，管理服务人员的工资是物业服务费用的法定构成部分，已包含在业主每月缴纳的物业费中。被告在物业费之外另行收取热水人工费，实质是就已经计入物业费的人工成本二次计费。</w:t>
      </w:r>
    </w:p>
    <w:p>
      <w:pPr>
        <w:spacing w:after="0" w:before="0"/>
      </w:pPr>
      <w:r>
        <w:t xml:space="preserve"/>
      </w:r>
    </w:p>
    <w:tbl>
      <w:tblPr>
        <w:tblW w:type="dxa" w:w="9506"/>
        <w:tblBorders>
          <w:top w:val="single" w:color="922B21" w:sz="12"/>
          <w:left w:val="single" w:color="922B21" w:sz="12"/>
          <w:bottom w:val="single" w:color="922B21" w:sz="4"/>
          <w:right w:val="single" w:color="922B21"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FADBD8" w:val="clear"/>
            <w:tcMar>
              <w:top w:type="dxa" w:w="100"/>
              <w:left w:type="dxa" w:w="160"/>
              <w:bottom w:type="dxa" w:w="100"/>
              <w:right w:type="dxa" w:w="160"/>
            </w:tcMar>
          </w:tcPr>
          <w:p>
            <w:pPr>
              <w:spacing w:after="60" w:before="0"/>
            </w:pPr>
            <w:r>
              <w:rPr>
                <w:rFonts w:ascii="Arial" w:cs="Arial" w:eastAsia="Arial" w:hAnsi="Arial"/>
                <w:b/>
                <w:bCs/>
                <w:color w:val="922B21"/>
                <w:sz w:val="20"/>
                <w:szCs w:val="20"/>
              </w:rPr>
              <w:t xml:space="preserve">包干制的正确理解：</w:t>
            </w:r>
          </w:p>
          <w:p>
            <w:pPr>
              <w:spacing w:after="20" w:before="0" w:line="300"/>
            </w:pPr>
            <w:r>
              <w:rPr>
                <w:rFonts w:ascii="Arial" w:cs="Arial" w:eastAsia="Arial" w:hAnsi="Arial"/>
                <w:color w:val="1A1A1A"/>
                <w:sz w:val="19"/>
                <w:szCs w:val="19"/>
              </w:rPr>
              <w:t xml:space="preserve">包干制的含义是"全部打包"：物业公司收到固定的物业费，承担合同范围内全部服务成本，盈余自得、亏损自担。正因为是包干制，业主已通过物业费支付了人工对价，不需要也不应该再另行支付。</w:t>
            </w:r>
          </w:p>
        </w:tc>
      </w:tr>
    </w:tbl>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12.2 劳动合同岗位定性：不存在独立的"热水服务岗"</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500"/>
        <w:gridCol w:w="2506"/>
      </w:tblGrid>
      <w:tr>
        <w:trPr>
          <w:tblHeader/>
        </w:trPr>
        <w:tc>
          <w:tcPr>
            <w:tcW w:type="dxa" w:w="15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姓名</w:t>
            </w:r>
          </w:p>
        </w:tc>
        <w:tc>
          <w:tcPr>
            <w:tcW w:type="dxa" w:w="30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合同甲方</w:t>
            </w:r>
          </w:p>
        </w:tc>
        <w:tc>
          <w:tcPr>
            <w:tcW w:type="dxa" w:w="25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劳动合同岗位</w:t>
            </w:r>
          </w:p>
        </w:tc>
        <w:tc>
          <w:tcPr>
            <w:tcW w:type="dxa" w:w="2506"/>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是否存在"热水服务岗"</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张标</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上海世纪商务大厦物业管理有限公司</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工程维修中心 水电工</w:t>
            </w:r>
          </w:p>
        </w:tc>
        <w:tc>
          <w:tcPr>
            <w:tcW w:type="dxa" w:w="25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否</w:t>
            </w:r>
          </w:p>
        </w:tc>
      </w:tr>
      <w:tr>
        <w:tc>
          <w:tcPr>
            <w:tcW w:type="dxa" w:w="15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张译元</w:t>
            </w:r>
          </w:p>
        </w:tc>
        <w:tc>
          <w:tcPr>
            <w:tcW w:type="dxa" w:w="30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上海世纪商务大厦物业管理有限公司</w:t>
            </w:r>
          </w:p>
        </w:tc>
        <w:tc>
          <w:tcPr>
            <w:tcW w:type="dxa" w:w="25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工程维修中心 水电工</w:t>
            </w:r>
          </w:p>
        </w:tc>
        <w:tc>
          <w:tcPr>
            <w:tcW w:type="dxa" w:w="2506"/>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否</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王文乾</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上海世纪商务大厦物业管理有限公司</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水电工</w:t>
            </w:r>
          </w:p>
        </w:tc>
        <w:tc>
          <w:tcPr>
            <w:tcW w:type="dxa" w:w="25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否</w:t>
            </w:r>
          </w:p>
        </w:tc>
      </w:tr>
      <w:tr>
        <w:tc>
          <w:tcPr>
            <w:tcW w:type="dxa" w:w="15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马春生</w:t>
            </w:r>
          </w:p>
        </w:tc>
        <w:tc>
          <w:tcPr>
            <w:tcW w:type="dxa" w:w="30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上海世纪商务大厦物业管理有限公司</w:t>
            </w:r>
          </w:p>
        </w:tc>
        <w:tc>
          <w:tcPr>
            <w:tcW w:type="dxa" w:w="25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（未明示热水岗）</w:t>
            </w:r>
          </w:p>
        </w:tc>
        <w:tc>
          <w:tcPr>
            <w:tcW w:type="dxa" w:w="2506"/>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无据证明</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王贵阳</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上海世纪商务大厦物业管理有限公司</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（未明示热水岗）</w:t>
            </w:r>
          </w:p>
        </w:tc>
        <w:tc>
          <w:tcPr>
            <w:tcW w:type="dxa" w:w="25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无据证明</w:t>
            </w:r>
          </w:p>
        </w:tc>
      </w:tr>
    </w:tbl>
    <w:p>
      <w:pPr>
        <w:spacing w:after="0" w:before="0"/>
      </w:pPr>
      <w:r>
        <w:t xml:space="preserve"/>
      </w:r>
    </w:p>
    <w:p>
      <w:pPr>
        <w:spacing w:after="80" w:before="80" w:line="320"/>
        <w:jc w:val="left"/>
      </w:pPr>
      <w:r>
        <w:rPr>
          <w:rFonts w:ascii="Arial" w:cs="Arial" w:eastAsia="Arial" w:hAnsi="Arial"/>
          <w:b w:val="false"/>
          <w:bCs w:val="false"/>
          <w:i w:val="false"/>
          <w:iCs w:val="false"/>
          <w:color w:val="1A1A1A"/>
          <w:sz w:val="20"/>
          <w:szCs w:val="20"/>
        </w:rPr>
        <w:t xml:space="preserve">被告如主张存在独立的"热水服务岗"，应提供：（1）以"热水服务"或"司炉"为岗位名称的独立劳动合同；（2）明确载明"热水服务"为独立工作内容的岗位说明书；（3）独立于物业服务合同之外的热水服务用工协议。上述文件被告均未提供。</w:t>
      </w:r>
    </w:p>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12.3 物业合同附件三：热水运维已是合同义务，无法另立收费</w:t>
      </w:r>
    </w:p>
    <w:p>
      <w:pPr>
        <w:pBdr>
          <w:left w:val="single" w:color="1B4F72" w:sz="12"/>
        </w:pBdr>
        <w:shd w:fill="F8FAFC" w:val="clear"/>
        <w:spacing w:after="80" w:before="80" w:line="300"/>
        <w:ind w:left="600" w:right="400"/>
      </w:pPr>
      <w:r>
        <w:rPr>
          <w:rFonts w:ascii="Arial" w:cs="Arial" w:eastAsia="Arial" w:hAnsi="Arial"/>
          <w:i/>
          <w:iCs/>
          <w:color w:val="444444"/>
          <w:sz w:val="19"/>
          <w:szCs w:val="19"/>
        </w:rPr>
        <w:t xml:space="preserve">"物业服务合同附件三：热水系统：每年保养一次，保证二次供水正常，热水温度不低于40度，泵房整洁。"</w:t>
      </w:r>
    </w:p>
    <w:p>
      <w:pPr>
        <w:pStyle w:val="ListParagraph"/>
        <w:numPr>
          <w:ilvl w:val="0"/>
          <w:numId w:val="2"/>
        </w:numPr>
        <w:spacing w:after="40" w:before="40" w:line="300"/>
      </w:pPr>
      <w:r>
        <w:rPr>
          <w:rFonts w:ascii="Arial" w:cs="Arial" w:eastAsia="Arial" w:hAnsi="Arial"/>
          <w:color w:val="1A1A1A"/>
          <w:sz w:val="20"/>
          <w:szCs w:val="20"/>
        </w:rPr>
        <w:t xml:space="preserve">热水系统运行维护已是物业合同的合同义务，被告不得主张"热水服务是合同外的独立服务"</w:t>
      </w:r>
    </w:p>
    <w:p>
      <w:pPr>
        <w:pStyle w:val="ListParagraph"/>
        <w:numPr>
          <w:ilvl w:val="0"/>
          <w:numId w:val="2"/>
        </w:numPr>
        <w:spacing w:after="40" w:before="40" w:line="300"/>
      </w:pPr>
      <w:r>
        <w:rPr>
          <w:rFonts w:ascii="Arial" w:cs="Arial" w:eastAsia="Arial" w:hAnsi="Arial"/>
          <w:color w:val="1A1A1A"/>
          <w:sz w:val="20"/>
          <w:szCs w:val="20"/>
        </w:rPr>
        <w:t xml:space="preserve">物业费的包干范围已明确覆盖热水系统，相应的人工成本自然也在物业费内</w:t>
      </w:r>
    </w:p>
    <w:p>
      <w:pPr>
        <w:spacing w:after="0" w:before="0"/>
      </w:pPr>
      <w:r>
        <w:t xml:space="preserve"/>
      </w:r>
    </w:p>
    <w:tbl>
      <w:tblPr>
        <w:tblW w:type="dxa" w:w="9506"/>
        <w:tblBorders>
          <w:top w:val="single" w:color="1B4F72" w:sz="12"/>
          <w:left w:val="single" w:color="1B4F72" w:sz="12"/>
          <w:bottom w:val="single" w:color="1B4F72" w:sz="4"/>
          <w:right w:val="single" w:color="1B4F72"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D6EAF8" w:val="clear"/>
            <w:tcMar>
              <w:top w:type="dxa" w:w="100"/>
              <w:left w:type="dxa" w:w="160"/>
              <w:bottom w:type="dxa" w:w="100"/>
              <w:right w:type="dxa" w:w="160"/>
            </w:tcMar>
          </w:tcPr>
          <w:p>
            <w:pPr>
              <w:spacing w:after="60" w:before="0"/>
            </w:pPr>
            <w:r>
              <w:rPr>
                <w:rFonts w:ascii="Arial" w:cs="Arial" w:eastAsia="Arial" w:hAnsi="Arial"/>
                <w:b/>
                <w:bCs/>
                <w:color w:val="1B4F72"/>
                <w:sz w:val="20"/>
                <w:szCs w:val="20"/>
              </w:rPr>
              <w:t xml:space="preserve">本章应对策略总结：</w:t>
            </w:r>
          </w:p>
          <w:p>
            <w:pPr>
              <w:spacing w:after="20" w:before="0" w:line="300"/>
            </w:pPr>
            <w:r>
              <w:rPr>
                <w:rFonts w:ascii="Arial" w:cs="Arial" w:eastAsia="Arial" w:hAnsi="Arial"/>
                <w:color w:val="1A1A1A"/>
                <w:sz w:val="19"/>
                <w:szCs w:val="19"/>
              </w:rPr>
              <w:t xml:space="preserve">论点一：双重劳动→双重工资 → 反驳：劳动合同只有一个岗位（工程维修中心水电工），不存在"热水服务岗"</w:t>
            </w:r>
          </w:p>
          <w:p>
            <w:pPr>
              <w:spacing w:after="20" w:before="0" w:line="300"/>
            </w:pPr>
            <w:r>
              <w:rPr>
                <w:rFonts w:ascii="Arial" w:cs="Arial" w:eastAsia="Arial" w:hAnsi="Arial"/>
                <w:color w:val="1A1A1A"/>
                <w:sz w:val="19"/>
                <w:szCs w:val="19"/>
              </w:rPr>
              <w:t xml:space="preserve">论点二：物业费/热水费各对应独立劳动 → 反驳：《物业服务收费管理办法》第十一条明列人工为包干制物业费的法定构成，不可另行重复计取</w:t>
            </w:r>
          </w:p>
          <w:p>
            <w:pPr>
              <w:spacing w:after="20" w:before="0" w:line="300"/>
            </w:pPr>
            <w:r>
              <w:rPr>
                <w:rFonts w:ascii="Arial" w:cs="Arial" w:eastAsia="Arial" w:hAnsi="Arial"/>
                <w:color w:val="1A1A1A"/>
                <w:sz w:val="19"/>
                <w:szCs w:val="19"/>
              </w:rPr>
              <w:t xml:space="preserve">论点三：包干制下内部安排与业主无关 → 反驳：正因为是包干制，业主已通过物业费支付了人工对价，物业公司自负盈亏</w:t>
            </w:r>
          </w:p>
          <w:p>
            <w:pPr>
              <w:spacing w:after="20" w:before="0" w:line="300"/>
            </w:pPr>
            <w:r>
              <w:rPr>
                <w:rFonts w:ascii="Arial" w:cs="Arial" w:eastAsia="Arial" w:hAnsi="Arial"/>
                <w:color w:val="1A1A1A"/>
                <w:sz w:val="19"/>
                <w:szCs w:val="19"/>
              </w:rPr>
              <w:t xml:space="preserve">论点四：热水是独立于物业的额外服务 → 反驳：合同附件三已将热水系统运维纳入物业合同义务</w:t>
            </w:r>
          </w:p>
        </w:tc>
      </w:tr>
    </w:tbl>
    <w:p>
      <w:pPr>
        <w:spacing w:after="0" w:before="0"/>
      </w:pPr>
      <w:r>
        <w:t xml:space="preserve"/>
      </w:r>
    </w:p>
    <w:p>
      <w:pPr>
        <w:spacing w:after="0" w:before="0"/>
      </w:pPr>
      <w:r>
        <w:t xml:space="preserve"/>
      </w:r>
    </w:p>
    <w:p>
      <w:r>
        <w:br w:type="page"/>
      </w:r>
    </w:p>
    <w:p>
      <w:pPr>
        <w:pStyle w:val="Heading1"/>
        <w:shd w:fill="1B4F72" w:val="clear"/>
        <w:spacing w:after="160" w:before="0"/>
        <w:ind w:left="200" w:right="200"/>
      </w:pPr>
      <w:r>
        <w:rPr>
          <w:rFonts w:ascii="Arial" w:cs="Arial" w:eastAsia="Arial" w:hAnsi="Arial"/>
          <w:b/>
          <w:bCs/>
          <w:color w:val="FFFFFF"/>
          <w:sz w:val="32"/>
          <w:szCs w:val="32"/>
        </w:rPr>
        <w:t xml:space="preserve">十三、"其他文件已约定热水另行收费"论点的应对</w:t>
      </w:r>
    </w:p>
    <w:p>
      <w:pPr>
        <w:spacing w:after="80" w:before="80" w:line="320"/>
        <w:jc w:val="left"/>
      </w:pPr>
      <w:r>
        <w:rPr>
          <w:rFonts w:ascii="Arial" w:cs="Arial" w:eastAsia="Arial" w:hAnsi="Arial"/>
          <w:b w:val="false"/>
          <w:bCs w:val="false"/>
          <w:i w:val="false"/>
          <w:iCs w:val="false"/>
          <w:color w:val="1A1A1A"/>
          <w:sz w:val="20"/>
          <w:szCs w:val="20"/>
        </w:rPr>
        <w:t xml:space="preserve">被告方可能进一步主张：除物业服务合同外，住户手册、管理规约等文件已明确约定热水费按运行成本另行收取，构成独立于物业合同的收费依据。本章逐一核实各文件的实际内容。</w:t>
      </w:r>
    </w:p>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13.1 三份文件实际内容——逐一核实</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906"/>
      </w:tblGrid>
      <w:tr>
        <w:trPr>
          <w:tblHeader/>
        </w:trPr>
        <w:tc>
          <w:tcPr>
            <w:tcW w:type="dxa" w:w="18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文件</w:t>
            </w:r>
          </w:p>
        </w:tc>
        <w:tc>
          <w:tcPr>
            <w:tcW w:type="dxa" w:w="48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关于热水收费的实际内容</w:t>
            </w:r>
          </w:p>
        </w:tc>
        <w:tc>
          <w:tcPr>
            <w:tcW w:type="dxa" w:w="2906"/>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结论</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管理规约（2017年5月26日业主大会通过，共23条）</w:t>
            </w:r>
          </w:p>
        </w:tc>
        <w:tc>
          <w:tcPr>
            <w:tcW w:type="dxa" w:w="4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全文通读，涉及物业费、维修资金、违约处理、业主委员会选聘程序等内容。无任何关于热水费或热水成本的条款。</w:t>
            </w:r>
          </w:p>
        </w:tc>
        <w:tc>
          <w:tcPr>
            <w:tcW w:type="dxa" w:w="29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被告无法援引管理规约——该文件与热水收费完全无关</w:t>
            </w:r>
          </w:p>
        </w:tc>
      </w:tr>
      <w:tr>
        <w:tc>
          <w:tcPr>
            <w:tcW w:type="dxa" w:w="18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住户手册第四章（热水供应）</w:t>
            </w:r>
          </w:p>
        </w:tc>
        <w:tc>
          <w:tcPr>
            <w:tcW w:type="dxa" w:w="48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原文："热水费由管理处收取，热水费单价由管理根据运行成本制定。"
仅此一句，无其他热水相关条款。</w:t>
            </w:r>
          </w:p>
        </w:tc>
        <w:tc>
          <w:tcPr>
            <w:tcW w:type="dxa" w:w="2906"/>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仅规定定价方法（以运行成本为依据），未约定人工可独立计费，亦未创设新的合同权利</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新建住宅使用说明书（上海市新建住宅说明书，建设单位：上海荣联房地产有限公司）</w:t>
            </w:r>
          </w:p>
        </w:tc>
        <w:tc>
          <w:tcPr>
            <w:tcW w:type="dxa" w:w="4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该文件现已在案（原告提交）。建设时间：2002年剀10月开工2004年蒈2月竪工。
第三章给水系统分冷热供水原文："热水由常压燃气锅炉提供热源经屋顶热水筱供热水"，局文确认热水系统（常压燃气锅炉+屋顶热水筱）是2004年竪工时已经安装就位的原始配套设施。同章给水管和水表条："每户设热水表各一个"（证明原有按户计量能力）。
第三章给水系统第(2)条："热水表计量收费由物业负责"，该句说明热水计量收费的执行主体，而非授权物业另立独立收费项目。该文件由开发商制作，时间早于物业服务合同，系房屋工程技术说明文件，不具备为物业公司创设超出物业合同范围收费权的效力。</w:t>
            </w:r>
          </w:p>
        </w:tc>
        <w:tc>
          <w:tcPr>
            <w:tcW w:type="dxa" w:w="29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反而有利于原告：①热水设备（燃气锅炉、屋顶热水筱）是开发商于2004年建造的建筑配套设施，连同热水运维义务一并交付物业时，物业的进场身份是受托管理方而非设备购买方；②物业将物业费遭盖热水运维人工，与开发商在交房文件中确认热水负责物业、与物业合同附件三将热水系统列为共用设施设备服务内容的内在逻辑完全一致</w:t>
            </w:r>
          </w:p>
        </w:tc>
      </w:tr>
    </w:tbl>
    <w:p>
      <w:pPr>
        <w:spacing w:after="0" w:before="0"/>
      </w:pPr>
      <w:r>
        <w:t xml:space="preserve"/>
      </w:r>
    </w:p>
    <w:tbl>
      <w:tblPr>
        <w:tblW w:type="dxa" w:w="9506"/>
        <w:tblBorders>
          <w:top w:val="single" w:color="922B21" w:sz="12"/>
          <w:left w:val="single" w:color="922B21" w:sz="12"/>
          <w:bottom w:val="single" w:color="922B21" w:sz="4"/>
          <w:right w:val="single" w:color="922B21"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FADBD8" w:val="clear"/>
            <w:tcMar>
              <w:top w:type="dxa" w:w="100"/>
              <w:left w:type="dxa" w:w="160"/>
              <w:bottom w:type="dxa" w:w="100"/>
              <w:right w:type="dxa" w:w="160"/>
            </w:tcMar>
          </w:tcPr>
          <w:p>
            <w:pPr>
              <w:spacing w:after="60" w:before="0"/>
            </w:pPr>
            <w:r>
              <w:rPr>
                <w:rFonts w:ascii="Arial" w:cs="Arial" w:eastAsia="Arial" w:hAnsi="Arial"/>
                <w:b/>
                <w:bCs/>
                <w:color w:val="922B21"/>
                <w:sz w:val="20"/>
                <w:szCs w:val="20"/>
              </w:rPr>
              <w:t xml:space="preserve">事实前提已被推翻：</w:t>
            </w:r>
          </w:p>
          <w:p>
            <w:pPr>
              <w:spacing w:after="20" w:before="0" w:line="300"/>
            </w:pPr>
            <w:r>
              <w:rPr>
                <w:rFonts w:ascii="Arial" w:cs="Arial" w:eastAsia="Arial" w:hAnsi="Arial"/>
                <w:color w:val="1A1A1A"/>
                <w:sz w:val="19"/>
                <w:szCs w:val="19"/>
              </w:rPr>
              <w:t xml:space="preserve">①管理规约：全文23条，无任何热水费或热水成本相关条款</w:t>
            </w:r>
          </w:p>
          <w:p>
            <w:pPr>
              <w:spacing w:after="20" w:before="0" w:line="300"/>
            </w:pPr>
            <w:r>
              <w:rPr>
                <w:rFonts w:ascii="Arial" w:cs="Arial" w:eastAsia="Arial" w:hAnsi="Arial"/>
                <w:color w:val="1A1A1A"/>
                <w:sz w:val="19"/>
                <w:szCs w:val="19"/>
              </w:rPr>
              <w:t xml:space="preserve"/>
            </w:r>
          </w:p>
          <w:p>
            <w:pPr>
              <w:spacing w:after="20" w:before="0" w:line="300"/>
            </w:pPr>
            <w:r>
              <w:rPr>
                <w:rFonts w:ascii="Arial" w:cs="Arial" w:eastAsia="Arial" w:hAnsi="Arial"/>
                <w:color w:val="1A1A1A"/>
                <w:sz w:val="19"/>
                <w:szCs w:val="19"/>
              </w:rPr>
              <w:t xml:space="preserve">②住宅说明书：已在案，第三章仅载明"热水表计量收费由物业负责"，说明的是收费主体（物业公司），不是授权另立收费项目，且该文件由开发商制作</w:t>
            </w:r>
          </w:p>
          <w:p>
            <w:pPr>
              <w:spacing w:after="20" w:before="0" w:line="300"/>
            </w:pPr>
            <w:r>
              <w:rPr>
                <w:rFonts w:ascii="Arial" w:cs="Arial" w:eastAsia="Arial" w:hAnsi="Arial"/>
                <w:color w:val="1A1A1A"/>
                <w:sz w:val="19"/>
                <w:szCs w:val="19"/>
              </w:rPr>
              <w:t xml:space="preserve"/>
            </w:r>
          </w:p>
          <w:p>
            <w:pPr>
              <w:spacing w:after="20" w:before="0" w:line="300"/>
            </w:pPr>
            <w:r>
              <w:rPr>
                <w:rFonts w:ascii="Arial" w:cs="Arial" w:eastAsia="Arial" w:hAnsi="Arial"/>
                <w:color w:val="1A1A1A"/>
                <w:sz w:val="19"/>
                <w:szCs w:val="19"/>
              </w:rPr>
              <w:t xml:space="preserve">③住户手册第四章：只有一句"热水费单价由管理根据运行成本制定"，规定的是定价方法，未约定人工可独立计费</w:t>
            </w:r>
          </w:p>
        </w:tc>
      </w:tr>
    </w:tbl>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13.2 住户手册的法律性质：单方告知，非合同</w:t>
      </w:r>
    </w:p>
    <w:p>
      <w:pPr>
        <w:pBdr>
          <w:left w:val="single" w:color="1B4F72" w:sz="12"/>
        </w:pBdr>
        <w:shd w:fill="F8FAFC" w:val="clear"/>
        <w:spacing w:after="80" w:before="80" w:line="300"/>
        <w:ind w:left="600" w:right="400"/>
      </w:pPr>
      <w:r>
        <w:rPr>
          <w:rFonts w:ascii="Arial" w:cs="Arial" w:eastAsia="Arial" w:hAnsi="Arial"/>
          <w:i/>
          <w:iCs/>
          <w:color w:val="444444"/>
          <w:sz w:val="19"/>
          <w:szCs w:val="19"/>
        </w:rPr>
        <w:t xml:space="preserve">"住户手册前言："本手册之编制目的在于使各业主/住户了解本公寓的一般管理服务范围及内容……管理处保留解释及修改条文及规定的权利。""</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006"/>
      </w:tblGrid>
      <w:tr>
        <w:trPr>
          <w:tblHeader/>
        </w:trPr>
        <w:tc>
          <w:tcPr>
            <w:tcW w:type="dxa" w:w="20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认定事项</w:t>
            </w:r>
          </w:p>
        </w:tc>
        <w:tc>
          <w:tcPr>
            <w:tcW w:type="dxa" w:w="35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依据原文</w:t>
            </w:r>
          </w:p>
        </w:tc>
        <w:tc>
          <w:tcPr>
            <w:tcW w:type="dxa" w:w="4006"/>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法律后果</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单方制作</w:t>
            </w:r>
          </w:p>
        </w:tc>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由被告（管理处）编制，业主从未在该文件上签字</w:t>
            </w:r>
          </w:p>
        </w:tc>
        <w:tc>
          <w:tcPr>
            <w:tcW w:type="dxa" w:w="40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不构成双方合意。《民法典》第469条：合同须经要约与承诺，单方告知不满足</w:t>
            </w:r>
          </w:p>
        </w:tc>
      </w:tr>
      <w:tr>
        <w:tc>
          <w:tcPr>
            <w:tcW w:type="dxa" w:w="20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功能定位为管理告知</w:t>
            </w:r>
          </w:p>
        </w:tc>
        <w:tc>
          <w:tcPr>
            <w:tcW w:type="dxa" w:w="35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"使业主了解一般管理服务范围及内容"——是信息告知，不是有偿服务协议</w:t>
            </w:r>
          </w:p>
        </w:tc>
        <w:tc>
          <w:tcPr>
            <w:tcW w:type="dxa" w:w="4006"/>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知晓≠同意。业主了解热水收费方式，不等于同意支付物业费之外的重复人工费</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物业单方保留修改权</w:t>
            </w:r>
          </w:p>
        </w:tc>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"管理处保留解释及修改条文及规定的权利"</w:t>
            </w:r>
          </w:p>
        </w:tc>
        <w:tc>
          <w:tcPr>
            <w:tcW w:type="dxa" w:w="40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合同修改须双方同意（《民法典》第543条）。物业可单方修改，正说明它不是合同</w:t>
            </w:r>
          </w:p>
        </w:tc>
      </w:tr>
    </w:tbl>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13.3 两套主张逻辑互斥：被告不能两边都要</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506"/>
      </w:tblGrid>
      <w:tr>
        <w:trPr>
          <w:tblHeader/>
        </w:trPr>
        <w:tc>
          <w:tcPr>
            <w:tcW w:type="dxa" w:w="30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主张A</w:t>
            </w:r>
          </w:p>
        </w:tc>
        <w:tc>
          <w:tcPr>
            <w:tcW w:type="dxa" w:w="30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主张B</w:t>
            </w:r>
          </w:p>
        </w:tc>
        <w:tc>
          <w:tcPr>
            <w:tcW w:type="dxa" w:w="3506"/>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为何互斥</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热水系统运维是物业合同（附件三）约定的服务内容
→ 用来证明物业公司尽职履约，不构成违约</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热水系统运维是独立于物业合同之外的经营活动
→ 用来证明人工费可以另行计费</w:t>
            </w:r>
          </w:p>
        </w:tc>
        <w:tc>
          <w:tcPr>
            <w:tcW w:type="dxa" w:w="35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A与B不能同时为真：同一项服务不能既是"合同义务"又是"合同外经营活动"</w:t>
            </w:r>
          </w:p>
        </w:tc>
      </w:tr>
    </w:tbl>
    <w:p>
      <w:pPr>
        <w:spacing w:after="0" w:before="0"/>
      </w:pPr>
      <w:r>
        <w:t xml:space="preserve"/>
      </w:r>
    </w:p>
    <w:p>
      <w:pPr>
        <w:pStyle w:val="ListParagraph"/>
        <w:numPr>
          <w:ilvl w:val="0"/>
          <w:numId w:val="2"/>
        </w:numPr>
        <w:spacing w:after="40" w:before="40" w:line="300"/>
      </w:pPr>
      <w:r>
        <w:rPr>
          <w:rFonts w:ascii="Arial" w:cs="Arial" w:eastAsia="Arial" w:hAnsi="Arial"/>
          <w:color w:val="1A1A1A"/>
          <w:sz w:val="20"/>
          <w:szCs w:val="20"/>
        </w:rPr>
        <w:t xml:space="preserve">若选A（热水是合同义务）：人工成本已含在物业费包干范围内，被告在物业费之外再收人工费，构成擅自提高收费标准（物业合同第二十四条）</w:t>
      </w:r>
    </w:p>
    <w:p>
      <w:pPr>
        <w:pStyle w:val="ListParagraph"/>
        <w:numPr>
          <w:ilvl w:val="0"/>
          <w:numId w:val="2"/>
        </w:numPr>
        <w:spacing w:after="40" w:before="40" w:line="300"/>
      </w:pPr>
      <w:r>
        <w:rPr>
          <w:rFonts w:ascii="Arial" w:cs="Arial" w:eastAsia="Arial" w:hAnsi="Arial"/>
          <w:color w:val="1A1A1A"/>
          <w:sz w:val="20"/>
          <w:szCs w:val="20"/>
        </w:rPr>
        <w:t xml:space="preserve">若选B（热水是合同外经营）：被告收取热水费缺乏合同依据——没有就热水服务与业主单独签订有偿服务合同，没有经业主大会授权，构成不当得利（《民法典》第985条）</w:t>
      </w:r>
    </w:p>
    <w:p>
      <w:pPr>
        <w:spacing w:after="0" w:before="0"/>
      </w:pPr>
      <w:r>
        <w:t xml:space="preserve"/>
      </w:r>
    </w:p>
    <w:tbl>
      <w:tblPr>
        <w:tblW w:type="dxa" w:w="9506"/>
        <w:tblBorders>
          <w:top w:val="single" w:color="922B21" w:sz="12"/>
          <w:left w:val="single" w:color="922B21" w:sz="12"/>
          <w:bottom w:val="single" w:color="922B21" w:sz="4"/>
          <w:right w:val="single" w:color="922B21"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FADBD8" w:val="clear"/>
            <w:tcMar>
              <w:top w:type="dxa" w:w="100"/>
              <w:left w:type="dxa" w:w="160"/>
              <w:bottom w:type="dxa" w:w="100"/>
              <w:right w:type="dxa" w:w="160"/>
            </w:tcMar>
          </w:tcPr>
          <w:p>
            <w:pPr>
              <w:spacing w:after="60" w:before="0"/>
            </w:pPr>
            <w:r>
              <w:rPr>
                <w:rFonts w:ascii="Arial" w:cs="Arial" w:eastAsia="Arial" w:hAnsi="Arial"/>
                <w:b/>
                <w:bCs/>
                <w:color w:val="922B21"/>
                <w:sz w:val="20"/>
                <w:szCs w:val="20"/>
              </w:rPr>
              <w:t xml:space="preserve">被告面临两难困境：</w:t>
            </w:r>
          </w:p>
          <w:p>
            <w:pPr>
              <w:spacing w:after="20" w:before="0" w:line="300"/>
            </w:pPr>
            <w:r>
              <w:rPr>
                <w:rFonts w:ascii="Arial" w:cs="Arial" w:eastAsia="Arial" w:hAnsi="Arial"/>
                <w:color w:val="1A1A1A"/>
                <w:sz w:val="19"/>
                <w:szCs w:val="19"/>
              </w:rPr>
              <w:t xml:space="preserve">物业合同附件三已将热水系统纳入物业服务义务范围。被告无法既援引附件三证明己方尽职，又主张热水人工是独立经营成本。任何一个选择，对原告而言均构成胜诉依据。</w:t>
            </w:r>
          </w:p>
        </w:tc>
      </w:tr>
    </w:tbl>
    <w:p>
      <w:pPr>
        <w:spacing w:after="0" w:before="0"/>
      </w:pPr>
      <w:r>
        <w:t xml:space="preserve"/>
      </w:r>
    </w:p>
    <w:p>
      <w:pPr>
        <w:spacing w:after="0" w:before="0"/>
      </w:pPr>
      <w:r>
        <w:t xml:space="preserve"/>
      </w:r>
    </w:p>
    <w:p>
      <w:r>
        <w:br w:type="page"/>
      </w:r>
    </w:p>
    <w:p>
      <w:pPr>
        <w:pStyle w:val="Heading1"/>
        <w:shd w:fill="1B4F72" w:val="clear"/>
        <w:spacing w:after="160" w:before="0"/>
        <w:ind w:left="200" w:right="200"/>
      </w:pPr>
      <w:r>
        <w:rPr>
          <w:rFonts w:ascii="Arial" w:cs="Arial" w:eastAsia="Arial" w:hAnsi="Arial"/>
          <w:b/>
          <w:bCs/>
          <w:color w:val="FFFFFF"/>
          <w:sz w:val="32"/>
          <w:szCs w:val="32"/>
        </w:rPr>
        <w:t xml:space="preserve">十四、被告劳动合同与薪资表的岗位身份内部矛盾</w:t>
      </w:r>
    </w:p>
    <w:p>
      <w:pPr>
        <w:spacing w:after="80" w:before="80" w:line="320"/>
        <w:jc w:val="left"/>
      </w:pPr>
      <w:r>
        <w:rPr>
          <w:rFonts w:ascii="Arial" w:cs="Arial" w:eastAsia="Arial" w:hAnsi="Arial"/>
          <w:b w:val="false"/>
          <w:bCs w:val="false"/>
          <w:i w:val="false"/>
          <w:iCs w:val="false"/>
          <w:color w:val="1A1A1A"/>
          <w:sz w:val="20"/>
          <w:szCs w:val="20"/>
        </w:rPr>
        <w:t xml:space="preserve">本章专门处理被告方的核心辩词："这三个人是专职烧水工，不是物业服务人员，他们的工资当然应当计入热水费。"以下从被告自己的文件出发，证明该主张与其提交的证据存在根本性矛盾。</w:t>
      </w:r>
    </w:p>
    <w:p>
      <w:pPr>
        <w:spacing w:after="0" w:before="0"/>
      </w:pPr>
      <w:r>
        <w:t xml:space="preserve"/>
      </w:r>
    </w:p>
    <w:tbl>
      <w:tblPr>
        <w:tblW w:type="dxa" w:w="9506"/>
        <w:tblBorders>
          <w:top w:val="single" w:color="1B4F72" w:sz="12"/>
          <w:left w:val="single" w:color="1B4F72" w:sz="12"/>
          <w:bottom w:val="single" w:color="1B4F72" w:sz="4"/>
          <w:right w:val="single" w:color="1B4F72"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D6EAF8" w:val="clear"/>
            <w:tcMar>
              <w:top w:type="dxa" w:w="100"/>
              <w:left w:type="dxa" w:w="160"/>
              <w:bottom w:type="dxa" w:w="100"/>
              <w:right w:type="dxa" w:w="160"/>
            </w:tcMar>
          </w:tcPr>
          <w:p>
            <w:pPr>
              <w:spacing w:after="60" w:before="0"/>
            </w:pPr>
            <w:r>
              <w:rPr>
                <w:rFonts w:ascii="Arial" w:cs="Arial" w:eastAsia="Arial" w:hAnsi="Arial"/>
                <w:b/>
                <w:bCs/>
                <w:color w:val="1B4F72"/>
                <w:sz w:val="20"/>
                <w:szCs w:val="20"/>
              </w:rPr>
              <w:t xml:space="preserve">本章核心结论：</w:t>
            </w:r>
          </w:p>
          <w:p>
            <w:pPr>
              <w:spacing w:after="20" w:before="0" w:line="300"/>
            </w:pPr>
            <w:r>
              <w:rPr>
                <w:rFonts w:ascii="Arial" w:cs="Arial" w:eastAsia="Arial" w:hAnsi="Arial"/>
                <w:color w:val="1A1A1A"/>
                <w:sz w:val="19"/>
                <w:szCs w:val="19"/>
              </w:rPr>
              <w:t xml:space="preserve">被告方若主张王文乾、马春生、张译元是"专职烧水工"，必须解释：为何这三人同时出现在以"锅炉工"为名的薪资表中，且其中张译元的劳动合同明确载明岗位为"工程维修中心水电工"？被告的两份自制文件之间构成互斥矛盾，无论被告选择相信哪份，对原告均有利。</w:t>
            </w:r>
          </w:p>
        </w:tc>
      </w:tr>
    </w:tbl>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14.1 张译元：合同岗位与薪资归属的直接矛盾</w:t>
      </w:r>
    </w:p>
    <w:p>
      <w:pPr>
        <w:spacing w:after="80" w:before="80" w:line="320"/>
        <w:jc w:val="left"/>
      </w:pPr>
      <w:r>
        <w:rPr>
          <w:rFonts w:ascii="Arial" w:cs="Arial" w:eastAsia="Arial" w:hAnsi="Arial"/>
          <w:b w:val="false"/>
          <w:bCs w:val="false"/>
          <w:i w:val="false"/>
          <w:iCs w:val="false"/>
          <w:color w:val="1A1A1A"/>
          <w:sz w:val="20"/>
          <w:szCs w:val="20"/>
        </w:rPr>
        <w:t xml:space="preserve">张译元劳动合同第一条第2款工作内容原文：</w:t>
      </w:r>
    </w:p>
    <w:p>
      <w:pPr>
        <w:pBdr>
          <w:left w:val="single" w:color="1B4F72" w:sz="12"/>
        </w:pBdr>
        <w:shd w:fill="F8FAFC" w:val="clear"/>
        <w:spacing w:after="80" w:before="80" w:line="300"/>
        <w:ind w:left="600" w:right="400"/>
      </w:pPr>
      <w:r>
        <w:rPr>
          <w:rFonts w:ascii="Arial" w:cs="Arial" w:eastAsia="Arial" w:hAnsi="Arial"/>
          <w:i/>
          <w:iCs/>
          <w:color w:val="444444"/>
          <w:sz w:val="19"/>
          <w:szCs w:val="19"/>
        </w:rPr>
        <w:t xml:space="preserve">"根据甲方的工作需要，乙方在工程维修中心担任水电工工作"</w:t>
      </w:r>
    </w:p>
    <w:p>
      <w:pPr>
        <w:spacing w:after="80" w:before="80" w:line="320"/>
        <w:jc w:val="left"/>
      </w:pPr>
      <w:r>
        <w:rPr>
          <w:rFonts w:ascii="Arial" w:cs="Arial" w:eastAsia="Arial" w:hAnsi="Arial"/>
          <w:b w:val="false"/>
          <w:bCs w:val="false"/>
          <w:i w:val="false"/>
          <w:iCs w:val="false"/>
          <w:color w:val="1A1A1A"/>
          <w:sz w:val="20"/>
          <w:szCs w:val="20"/>
        </w:rPr>
        <w:t xml:space="preserve">同时，被告向法庭提交的2022年、2023年"锅炉工薪资社保统计表"中，张译元均被列入，与王文乾、马春生并列，作为"锅炉工"参与热水成本核算。</w:t>
      </w:r>
    </w:p>
    <w:p>
      <w:pPr>
        <w:spacing w:after="0" w:before="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906"/>
      </w:tblGrid>
      <w:tr>
        <w:trPr>
          <w:tblHeader/>
        </w:trPr>
        <w:tc>
          <w:tcPr>
            <w:tcW w:type="dxa" w:w="24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来源文件</w:t>
            </w:r>
          </w:p>
        </w:tc>
        <w:tc>
          <w:tcPr>
            <w:tcW w:type="dxa" w:w="32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对张译元的定性</w:t>
            </w:r>
          </w:p>
        </w:tc>
        <w:tc>
          <w:tcPr>
            <w:tcW w:type="dxa" w:w="3906"/>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互斥关系</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劳动合同（被告与张译元签订）</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工程维修中心 水电工（物业管理岗）</w:t>
            </w:r>
          </w:p>
        </w:tc>
        <w:tc>
          <w:tcPr>
            <w:tcW w:type="dxa" w:w="3906"/>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922B21"/>
                <w:sz w:val="19"/>
                <w:szCs w:val="19"/>
              </w:rPr>
              <w:t xml:space="preserve">两份被告自制文件对同一人员的岗位定性完全相反</w:t>
            </w:r>
          </w:p>
        </w:tc>
      </w:tr>
      <w:tr>
        <w:tc>
          <w:tcPr>
            <w:tcW w:type="dxa" w:w="24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锅炉工薪资社保统计表（被告制作）</w:t>
            </w:r>
          </w:p>
        </w:tc>
        <w:tc>
          <w:tcPr>
            <w:tcW w:type="dxa" w:w="32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锅炉工（热水运营岗）</w:t>
            </w:r>
          </w:p>
        </w:tc>
        <w:tc>
          <w:tcPr>
            <w:tcW w:type="dxa" w:w="3906"/>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922B21"/>
                <w:sz w:val="19"/>
                <w:szCs w:val="19"/>
              </w:rPr>
              <w:t xml:space="preserve">两份被告自制文件对同一人员的岗位定性完全相反</w:t>
            </w:r>
          </w:p>
        </w:tc>
      </w:tr>
    </w:tbl>
    <w:p>
      <w:pPr>
        <w:spacing w:after="0" w:before="0"/>
      </w:pPr>
      <w:r>
        <w:t xml:space="preserve"/>
      </w:r>
    </w:p>
    <w:p>
      <w:pPr>
        <w:spacing w:after="80" w:before="80" w:line="320"/>
        <w:jc w:val="left"/>
      </w:pPr>
      <w:r>
        <w:rPr>
          <w:rFonts w:ascii="Arial" w:cs="Arial" w:eastAsia="Arial" w:hAnsi="Arial"/>
          <w:b w:val="false"/>
          <w:bCs w:val="false"/>
          <w:i w:val="false"/>
          <w:iCs w:val="false"/>
          <w:color w:val="1A1A1A"/>
          <w:sz w:val="20"/>
          <w:szCs w:val="20"/>
        </w:rPr>
        <w:t xml:space="preserve">该矛盾对原告有利，无论被告如何解释：</w:t>
      </w:r>
    </w:p>
    <w:p>
      <w:pPr>
        <w:pStyle w:val="ListParagraph"/>
        <w:numPr>
          <w:ilvl w:val="0"/>
          <w:numId w:val="2"/>
        </w:numPr>
        <w:spacing w:after="40" w:before="40" w:line="300"/>
      </w:pPr>
      <w:r>
        <w:rPr>
          <w:rFonts w:ascii="Arial" w:cs="Arial" w:eastAsia="Arial" w:hAnsi="Arial"/>
          <w:color w:val="1A1A1A"/>
          <w:sz w:val="20"/>
          <w:szCs w:val="20"/>
        </w:rPr>
        <w:t xml:space="preserve">若被告坚持张译元是"专职锅炉工"：则其劳动合同载明的"工程维修中心水电工"岗位，说明被告在签劳动合同时刻意隐瞒了真实岗位；2021年续签协议仅延长期限，岗位内容未变更，进一步说明被告长期以"水电工"名义管理、薪资结算，再以"锅炉工"名义向业主收取成本，是刻意的双重套取</w:t>
      </w:r>
    </w:p>
    <w:p>
      <w:pPr>
        <w:pStyle w:val="ListParagraph"/>
        <w:numPr>
          <w:ilvl w:val="0"/>
          <w:numId w:val="2"/>
        </w:numPr>
        <w:spacing w:after="40" w:before="40" w:line="300"/>
      </w:pPr>
      <w:r>
        <w:rPr>
          <w:rFonts w:ascii="Arial" w:cs="Arial" w:eastAsia="Arial" w:hAnsi="Arial"/>
          <w:color w:val="1A1A1A"/>
          <w:sz w:val="20"/>
          <w:szCs w:val="20"/>
        </w:rPr>
        <w:t xml:space="preserve">若被告坚持张译元是"工程维修中心水电工"：则其工资属于物业管理服务人员工资，依《物业服务收费管理办法》第十一条，应由物业费承担，不应再计入热水费</w:t>
      </w:r>
    </w:p>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14.2 王文乾：劳务协议岗位与薪资归属的矛盾</w:t>
      </w:r>
    </w:p>
    <w:p>
      <w:pPr>
        <w:spacing w:after="80" w:before="80" w:line="320"/>
        <w:jc w:val="left"/>
      </w:pPr>
      <w:r>
        <w:rPr>
          <w:rFonts w:ascii="Arial" w:cs="Arial" w:eastAsia="Arial" w:hAnsi="Arial"/>
          <w:b w:val="false"/>
          <w:bCs w:val="false"/>
          <w:i w:val="false"/>
          <w:iCs w:val="false"/>
          <w:color w:val="1A1A1A"/>
          <w:sz w:val="20"/>
          <w:szCs w:val="20"/>
        </w:rPr>
        <w:t xml:space="preserve">王文乾劳务协议书聘用岗位原文：</w:t>
      </w:r>
    </w:p>
    <w:p>
      <w:pPr>
        <w:pBdr>
          <w:left w:val="single" w:color="1B4F72" w:sz="12"/>
        </w:pBdr>
        <w:shd w:fill="F8FAFC" w:val="clear"/>
        <w:spacing w:after="80" w:before="80" w:line="300"/>
        <w:ind w:left="600" w:right="400"/>
      </w:pPr>
      <w:r>
        <w:rPr>
          <w:rFonts w:ascii="Arial" w:cs="Arial" w:eastAsia="Arial" w:hAnsi="Arial"/>
          <w:i/>
          <w:iCs/>
          <w:color w:val="444444"/>
          <w:sz w:val="19"/>
          <w:szCs w:val="19"/>
        </w:rPr>
        <w:t xml:space="preserve">"水电工"</w:t>
      </w:r>
    </w:p>
    <w:p>
      <w:pPr>
        <w:spacing w:after="80" w:before="80" w:line="320"/>
        <w:jc w:val="left"/>
      </w:pPr>
      <w:r>
        <w:rPr>
          <w:rFonts w:ascii="Arial" w:cs="Arial" w:eastAsia="Arial" w:hAnsi="Arial"/>
          <w:b w:val="false"/>
          <w:bCs w:val="false"/>
          <w:i w:val="false"/>
          <w:iCs w:val="false"/>
          <w:color w:val="1A1A1A"/>
          <w:sz w:val="20"/>
          <w:szCs w:val="20"/>
        </w:rPr>
        <w:t xml:space="preserve">协议全文2页，无任何"热水"、"锅炉"、"司炉"字样。但王文乾同样被列入2022年和2023年"锅炉工薪资社保统计表"，其工资被被告纳入热水运营成本。</w:t>
      </w:r>
    </w:p>
    <w:p>
      <w:pPr>
        <w:spacing w:after="80" w:before="80" w:line="320"/>
        <w:jc w:val="left"/>
      </w:pPr>
      <w:r>
        <w:rPr>
          <w:rFonts w:ascii="Arial" w:cs="Arial" w:eastAsia="Arial" w:hAnsi="Arial"/>
          <w:b w:val="false"/>
          <w:bCs w:val="false"/>
          <w:i w:val="false"/>
          <w:iCs w:val="false"/>
          <w:color w:val="1A1A1A"/>
          <w:sz w:val="20"/>
          <w:szCs w:val="20"/>
        </w:rPr>
        <w:t xml:space="preserve">此外，个税申报表显示王文乾两年全程专项扣除为零，说明被告从未为其缴纳社会保险及公积金。但德同评估报告将"三名人员"的社保（1,541.67元/月）和公积金（1,600.16元/月）作为整体列入热水成本向业主收取——被告一边不为王文乾缴纳社保，一边向业主收取包含其社保的人工费，存在虚列成本问题。</w:t>
      </w:r>
    </w:p>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14.3 马春生：合同无岗位，薪资列入锅炉工的证明力问题</w:t>
      </w:r>
    </w:p>
    <w:p>
      <w:pPr>
        <w:spacing w:after="80" w:before="80" w:line="320"/>
        <w:jc w:val="left"/>
      </w:pPr>
      <w:r>
        <w:rPr>
          <w:rFonts w:ascii="Arial" w:cs="Arial" w:eastAsia="Arial" w:hAnsi="Arial"/>
          <w:b w:val="false"/>
          <w:bCs w:val="false"/>
          <w:i w:val="false"/>
          <w:iCs w:val="false"/>
          <w:color w:val="1A1A1A"/>
          <w:sz w:val="20"/>
          <w:szCs w:val="20"/>
        </w:rPr>
        <w:t xml:space="preserve">马春生的劳动合同未明示具体岗位名称，被告可能以此主张其为"专职烧水工"。但注意：</w:t>
      </w:r>
    </w:p>
    <w:p>
      <w:pPr>
        <w:pStyle w:val="ListParagraph"/>
        <w:numPr>
          <w:ilvl w:val="0"/>
          <w:numId w:val="2"/>
        </w:numPr>
        <w:spacing w:after="40" w:before="40" w:line="300"/>
      </w:pPr>
      <w:r>
        <w:rPr>
          <w:rFonts w:ascii="Arial" w:cs="Arial" w:eastAsia="Arial" w:hAnsi="Arial"/>
          <w:color w:val="1A1A1A"/>
          <w:sz w:val="20"/>
          <w:szCs w:val="20"/>
        </w:rPr>
        <w:t xml:space="preserve">若马春生确为专职烧水工，被告应在合同中明确约定。合同不载明岗位，说明被告内部并未将"烧水工"作为独立职类正式管理</w:t>
      </w:r>
    </w:p>
    <w:p>
      <w:pPr>
        <w:pStyle w:val="ListParagraph"/>
        <w:numPr>
          <w:ilvl w:val="0"/>
          <w:numId w:val="2"/>
        </w:numPr>
        <w:spacing w:after="40" w:before="40" w:line="300"/>
      </w:pPr>
      <w:r>
        <w:rPr>
          <w:rFonts w:ascii="Arial" w:cs="Arial" w:eastAsia="Arial" w:hAnsi="Arial"/>
          <w:color w:val="1A1A1A"/>
          <w:sz w:val="20"/>
          <w:szCs w:val="20"/>
        </w:rPr>
        <w:t xml:space="preserve">被告在薪资表中将马春生与张译元（合同明确为水电工）并列，这意味着在被告的薪资管理体系中，两人属于同一类别。若张译元是水电工，则马春生的岗位性质也倾向于水电工类别</w:t>
      </w:r>
    </w:p>
    <w:p>
      <w:pPr>
        <w:pStyle w:val="ListParagraph"/>
        <w:numPr>
          <w:ilvl w:val="0"/>
          <w:numId w:val="2"/>
        </w:numPr>
        <w:spacing w:after="40" w:before="40" w:line="300"/>
      </w:pPr>
      <w:r>
        <w:rPr>
          <w:rFonts w:ascii="Arial" w:cs="Arial" w:eastAsia="Arial" w:hAnsi="Arial"/>
          <w:color w:val="1A1A1A"/>
          <w:sz w:val="20"/>
          <w:szCs w:val="20"/>
        </w:rPr>
        <w:t xml:space="preserve">若被告主张马春生是专职烧水工，其成本不应由物业费承担，则被告需解释：为何用同一份"锅炉工薪资表"，将水电工张译元的工资与所谓专职烧水工并列核算、一并向业主收取？</w:t>
      </w:r>
    </w:p>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14.4 庭审应对要点</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006"/>
      </w:tblGrid>
      <w:tr>
        <w:trPr>
          <w:tblHeader/>
        </w:trPr>
        <w:tc>
          <w:tcPr>
            <w:tcW w:type="dxa" w:w="25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被告可能的辩词</w:t>
            </w:r>
          </w:p>
        </w:tc>
        <w:tc>
          <w:tcPr>
            <w:tcW w:type="dxa" w:w="40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应对逻辑</w:t>
            </w:r>
          </w:p>
        </w:tc>
        <w:tc>
          <w:tcPr>
            <w:tcW w:type="dxa" w:w="3006"/>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支撑证据</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"这三人就是专职烧水工"</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劳动合同明确载明张译元岗位为"工程维修中心水电工"，王文乾为"水电工"——专职烧水工说法与合同原文冲突</w:t>
            </w:r>
          </w:p>
        </w:tc>
        <w:tc>
          <w:tcPr>
            <w:tcW w:type="dxa" w:w="30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张译元劳动合同第一条第2款；王文乾劳务协议</w:t>
            </w:r>
          </w:p>
        </w:tc>
      </w:tr>
      <w:tr>
        <w:tc>
          <w:tcPr>
            <w:tcW w:type="dxa" w:w="25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"烧水是他们的主要工作"</w:t>
            </w:r>
          </w:p>
        </w:tc>
        <w:tc>
          <w:tcPr>
            <w:tcW w:type="dxa" w:w="40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合同全文无任何热水/锅炉字样。被告有调岗条款（张译元合同第二款），但从未正式调岗至"热水操作"，说明被告自己也未将此作为独立岗位管理</w:t>
            </w:r>
          </w:p>
        </w:tc>
        <w:tc>
          <w:tcPr>
            <w:tcW w:type="dxa" w:w="3006"/>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张译元劳动合同全文（无热水字样）</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"两个人兼做物业维修，三人专职烧水"</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薪资表将三人并列，说明被告在成本核算时未作区分。且王文乾无社保，德同报告却将社保整体列入——成本数字本身存在虚构</w:t>
            </w:r>
          </w:p>
        </w:tc>
        <w:tc>
          <w:tcPr>
            <w:tcW w:type="dxa" w:w="30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个税申报表（专项扣除=0）；德同报告社保数据</w:t>
            </w:r>
          </w:p>
        </w:tc>
      </w:tr>
      <w:tr>
        <w:tc>
          <w:tcPr>
            <w:tcW w:type="dxa" w:w="25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"这三人工资不计入物业费，属于热水专项成本"</w:t>
            </w:r>
          </w:p>
        </w:tc>
        <w:tc>
          <w:tcPr>
            <w:tcW w:type="dxa" w:w="40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物业经理陈源在111人业主群自认："这三个人工是专职（不计入物业费人工；如果不供应热水，公司是不需要这三个人的）"。但物业服务合同附件三（共用设施设备日常运行保养维修服务）已将热水系统列为服务内容，合同第六条采用包干制——物业费已是履行全部服务义务的对价，不得就同一义务再行收费</w:t>
            </w:r>
          </w:p>
        </w:tc>
        <w:tc>
          <w:tcPr>
            <w:tcW w:type="dxa" w:w="3006"/>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物业经理陈源2024年9月19日业主群截图；物业服务合同附件三；合同第六条（包干制）</w:t>
            </w:r>
          </w:p>
        </w:tc>
      </w:tr>
    </w:tbl>
    <w:p>
      <w:pPr>
        <w:spacing w:after="0" w:before="0"/>
      </w:pPr>
      <w:r>
        <w:t xml:space="preserve"/>
      </w:r>
    </w:p>
    <w:p>
      <w:pPr>
        <w:spacing w:after="0" w:before="0"/>
      </w:pPr>
      <w:r>
        <w:t xml:space="preserve"/>
      </w:r>
    </w:p>
    <w:p>
      <w:r>
        <w:br w:type="page"/>
      </w:r>
    </w:p>
    <w:p>
      <w:pPr>
        <w:pStyle w:val="Heading1"/>
        <w:shd w:fill="1B4F72" w:val="clear"/>
        <w:spacing w:after="160" w:before="0"/>
        <w:ind w:left="200" w:right="200"/>
      </w:pPr>
      <w:r>
        <w:rPr>
          <w:rFonts w:ascii="Arial" w:cs="Arial" w:eastAsia="Arial" w:hAnsi="Arial"/>
          <w:b/>
          <w:bCs/>
          <w:color w:val="FFFFFF"/>
          <w:sz w:val="32"/>
          <w:szCs w:val="32"/>
        </w:rPr>
        <w:t xml:space="preserve">十五、被告成本数据的三大内部矛盾</w:t>
      </w:r>
    </w:p>
    <w:p>
      <w:pPr>
        <w:spacing w:after="80" w:before="80" w:line="320"/>
        <w:jc w:val="left"/>
      </w:pPr>
      <w:r>
        <w:rPr>
          <w:rFonts w:ascii="Arial" w:cs="Arial" w:eastAsia="Arial" w:hAnsi="Arial"/>
          <w:b w:val="false"/>
          <w:bCs w:val="false"/>
          <w:i w:val="false"/>
          <w:iCs w:val="false"/>
          <w:color w:val="1A1A1A"/>
          <w:sz w:val="20"/>
          <w:szCs w:val="20"/>
        </w:rPr>
        <w:t xml:space="preserve">本章基于被告自制的三份原始文件（热水成本分摊表、2022年个税申报表、2023年个税申报表）进行交叉比对，发现三个无法用合理商业逻辑解释的内部矛盾。这些矛盾均来自被告自己的文件，无需依赖任何外部证据。</w:t>
      </w:r>
    </w:p>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15.1 矛盾一（最强）：德同报告社保计算是虚构的</w:t>
      </w:r>
    </w:p>
    <w:p>
      <w:pPr>
        <w:spacing w:after="80" w:before="80" w:line="320"/>
        <w:jc w:val="left"/>
      </w:pPr>
      <w:r>
        <w:rPr>
          <w:rFonts w:ascii="Arial" w:cs="Arial" w:eastAsia="Arial" w:hAnsi="Arial"/>
          <w:b w:val="false"/>
          <w:bCs w:val="false"/>
          <w:i w:val="false"/>
          <w:iCs w:val="false"/>
          <w:color w:val="1A1A1A"/>
          <w:sz w:val="20"/>
          <w:szCs w:val="20"/>
        </w:rPr>
        <w:t xml:space="preserve">【数据来源】个税申报表（专项扣除一栏）× 德同评估报告（人工成本明细）</w:t>
      </w:r>
    </w:p>
    <w:p>
      <w:pPr>
        <w:spacing w:after="0" w:before="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3606"/>
      </w:tblGrid>
      <w:tr>
        <w:trPr>
          <w:tblHeader/>
        </w:trPr>
        <w:tc>
          <w:tcPr>
            <w:tcW w:type="dxa" w:w="15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人员</w:t>
            </w:r>
          </w:p>
        </w:tc>
        <w:tc>
          <w:tcPr>
            <w:tcW w:type="dxa" w:w="22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2022年个税专项扣除</w:t>
            </w:r>
          </w:p>
        </w:tc>
        <w:tc>
          <w:tcPr>
            <w:tcW w:type="dxa" w:w="22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2023年个税专项扣除</w:t>
            </w:r>
          </w:p>
        </w:tc>
        <w:tc>
          <w:tcPr>
            <w:tcW w:type="dxa" w:w="3606"/>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德同报告社保主张</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张译元</w:t>
            </w:r>
          </w:p>
        </w:tc>
        <w:tc>
          <w:tcPr>
            <w:tcW w:type="dxa" w:w="22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E8449"/>
                <w:sz w:val="19"/>
                <w:szCs w:val="19"/>
              </w:rPr>
              <w:t xml:space="preserve">12,647.80元（有社保）</w:t>
            </w:r>
          </w:p>
        </w:tc>
        <w:tc>
          <w:tcPr>
            <w:tcW w:type="dxa" w:w="22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E8449"/>
                <w:sz w:val="19"/>
                <w:szCs w:val="19"/>
              </w:rPr>
              <w:t xml:space="preserve">17,850.25元（有社保）</w:t>
            </w:r>
          </w:p>
        </w:tc>
        <w:tc>
          <w:tcPr>
            <w:tcW w:type="dxa" w:w="36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三人整体：1,541.67元/月社保 + 1,600.16元/月公积金</w:t>
            </w:r>
          </w:p>
        </w:tc>
      </w:tr>
      <w:tr>
        <w:tc>
          <w:tcPr>
            <w:tcW w:type="dxa" w:w="15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王文乾</w:t>
            </w:r>
          </w:p>
        </w:tc>
        <w:tc>
          <w:tcPr>
            <w:tcW w:type="dxa" w:w="22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922B21"/>
                <w:sz w:val="19"/>
                <w:szCs w:val="19"/>
              </w:rPr>
              <w:t xml:space="preserve">0元（两年全程无社保）</w:t>
            </w:r>
          </w:p>
        </w:tc>
        <w:tc>
          <w:tcPr>
            <w:tcW w:type="dxa" w:w="22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922B21"/>
                <w:sz w:val="19"/>
                <w:szCs w:val="19"/>
              </w:rPr>
              <w:t xml:space="preserve">0元（两年全程无社保）</w:t>
            </w:r>
          </w:p>
        </w:tc>
        <w:tc>
          <w:tcPr>
            <w:tcW w:type="dxa" w:w="3606"/>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↑同上，德同报告未单独区分</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马春生</w:t>
            </w:r>
          </w:p>
        </w:tc>
        <w:tc>
          <w:tcPr>
            <w:tcW w:type="dxa" w:w="22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922B21"/>
                <w:sz w:val="19"/>
                <w:szCs w:val="19"/>
              </w:rPr>
              <w:t xml:space="preserve">0元（两年全程无社保）</w:t>
            </w:r>
          </w:p>
        </w:tc>
        <w:tc>
          <w:tcPr>
            <w:tcW w:type="dxa" w:w="22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922B21"/>
                <w:sz w:val="19"/>
                <w:szCs w:val="19"/>
              </w:rPr>
              <w:t xml:space="preserve">0元（两年全程无社保）</w:t>
            </w:r>
          </w:p>
        </w:tc>
        <w:tc>
          <w:tcPr>
            <w:tcW w:type="dxa" w:w="36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↑同上，德同报告未单独区分</w:t>
            </w:r>
          </w:p>
        </w:tc>
      </w:tr>
    </w:tbl>
    <w:p>
      <w:pPr>
        <w:spacing w:after="0" w:before="0"/>
      </w:pPr>
      <w:r>
        <w:t xml:space="preserve"/>
      </w:r>
    </w:p>
    <w:p>
      <w:pPr>
        <w:spacing w:after="80" w:before="80" w:line="320"/>
        <w:jc w:val="left"/>
      </w:pPr>
      <w:r>
        <w:rPr>
          <w:rFonts w:ascii="Arial" w:cs="Arial" w:eastAsia="Arial" w:hAnsi="Arial"/>
          <w:b w:val="false"/>
          <w:bCs w:val="false"/>
          <w:i w:val="false"/>
          <w:iCs w:val="false"/>
          <w:color w:val="1A1A1A"/>
          <w:sz w:val="20"/>
          <w:szCs w:val="20"/>
        </w:rPr>
        <w:t xml:space="preserve">个税申报表是被告向税务机关提交的法定文件，专项扣除一栏清晰显示王文乾、马春生两年全程扣除为零，证明被告从未为这两人缴纳任何社保或公积金。但德同评估报告将三人的社保和公积金作为整体列入热水成本向业主收取。</w:t>
      </w:r>
    </w:p>
    <w:tbl>
      <w:tblPr>
        <w:tblW w:type="dxa" w:w="9506"/>
        <w:tblBorders>
          <w:top w:val="single" w:color="922B21" w:sz="12"/>
          <w:left w:val="single" w:color="922B21" w:sz="12"/>
          <w:bottom w:val="single" w:color="922B21" w:sz="4"/>
          <w:right w:val="single" w:color="922B21"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FADBD8" w:val="clear"/>
            <w:tcMar>
              <w:top w:type="dxa" w:w="100"/>
              <w:left w:type="dxa" w:w="160"/>
              <w:bottom w:type="dxa" w:w="100"/>
              <w:right w:type="dxa" w:w="160"/>
            </w:tcMar>
          </w:tcPr>
          <w:p>
            <w:pPr>
              <w:spacing w:after="60" w:before="0"/>
            </w:pPr>
            <w:r>
              <w:rPr>
                <w:rFonts w:ascii="Arial" w:cs="Arial" w:eastAsia="Arial" w:hAnsi="Arial"/>
                <w:b/>
                <w:bCs/>
                <w:color w:val="922B21"/>
                <w:sz w:val="20"/>
                <w:szCs w:val="20"/>
              </w:rPr>
              <w:t xml:space="preserve">结论：向业主收取了从未实际支出的社保费用：</w:t>
            </w:r>
          </w:p>
          <w:p>
            <w:pPr>
              <w:spacing w:after="20" w:before="0" w:line="300"/>
            </w:pPr>
            <w:r>
              <w:rPr>
                <w:rFonts w:ascii="Arial" w:cs="Arial" w:eastAsia="Arial" w:hAnsi="Arial"/>
                <w:color w:val="1A1A1A"/>
                <w:sz w:val="19"/>
                <w:szCs w:val="19"/>
              </w:rPr>
              <w:t xml:space="preserve">被告通过德同报告向业主主张的"三人社保+公积金"，实际上只有张译元一人有真实缴纳记录。王文乾、马春生的社保金额，系被告列入热水成本但从未实际支出的虚增项目，构成多收。</w:t>
            </w:r>
          </w:p>
        </w:tc>
      </w:tr>
    </w:tbl>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15.2 矛盾二：人工成本是固定预算摊销，而非实际发放</w:t>
      </w:r>
    </w:p>
    <w:p>
      <w:pPr>
        <w:spacing w:after="80" w:before="80" w:line="320"/>
        <w:jc w:val="left"/>
      </w:pPr>
      <w:r>
        <w:rPr>
          <w:rFonts w:ascii="Arial" w:cs="Arial" w:eastAsia="Arial" w:hAnsi="Arial"/>
          <w:b w:val="false"/>
          <w:bCs w:val="false"/>
          <w:i w:val="false"/>
          <w:iCs w:val="false"/>
          <w:color w:val="1A1A1A"/>
          <w:sz w:val="20"/>
          <w:szCs w:val="20"/>
        </w:rPr>
        <w:t xml:space="preserve">【数据来源】热水成本分摊表（2022年、2023年逐月人工成本数据）</w:t>
      </w:r>
    </w:p>
    <w:p>
      <w:pPr>
        <w:spacing w:after="0" w:before="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3006"/>
      </w:tblGrid>
      <w:tr>
        <w:trPr>
          <w:tblHeader/>
        </w:trPr>
        <w:tc>
          <w:tcPr>
            <w:tcW w:type="dxa" w:w="10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年份</w:t>
            </w:r>
          </w:p>
        </w:tc>
        <w:tc>
          <w:tcPr>
            <w:tcW w:type="dxa" w:w="55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全年12个月人工成本</w:t>
            </w:r>
          </w:p>
        </w:tc>
        <w:tc>
          <w:tcPr>
            <w:tcW w:type="dxa" w:w="3006"/>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结论</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2022年</w:t>
            </w:r>
          </w:p>
        </w:tc>
        <w:tc>
          <w:tcPr>
            <w:tcW w:type="dxa" w:w="55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922B21"/>
                <w:sz w:val="19"/>
                <w:szCs w:val="19"/>
              </w:rPr>
              <w:t xml:space="preserve">每月精确为28,721.95元，全年合计344,663.40元（12个月完全相同，精确到分）</w:t>
            </w:r>
          </w:p>
        </w:tc>
        <w:tc>
          <w:tcPr>
            <w:tcW w:type="dxa" w:w="3006"/>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922B21"/>
                <w:sz w:val="19"/>
                <w:szCs w:val="19"/>
              </w:rPr>
              <w:t xml:space="preserve">固定预算数字，非根据实际工资计算</w:t>
            </w:r>
          </w:p>
        </w:tc>
      </w:tr>
      <w:tr>
        <w:tc>
          <w:tcPr>
            <w:tcW w:type="dxa" w:w="10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2023年</w:t>
            </w:r>
          </w:p>
        </w:tc>
        <w:tc>
          <w:tcPr>
            <w:tcW w:type="dxa" w:w="55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922B21"/>
                <w:sz w:val="19"/>
                <w:szCs w:val="19"/>
              </w:rPr>
              <w:t xml:space="preserve">每月精确为30,628.60元，全年合计367,543.20元（12个月完全相同，精确到分）</w:t>
            </w:r>
          </w:p>
        </w:tc>
        <w:tc>
          <w:tcPr>
            <w:tcW w:type="dxa" w:w="3006"/>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922B21"/>
                <w:sz w:val="19"/>
                <w:szCs w:val="19"/>
              </w:rPr>
              <w:t xml:space="preserve">固定预算数字，非根据实际工资计算</w:t>
            </w:r>
          </w:p>
        </w:tc>
      </w:tr>
    </w:tbl>
    <w:p>
      <w:pPr>
        <w:spacing w:after="0" w:before="0"/>
      </w:pPr>
      <w:r>
        <w:t xml:space="preserve"/>
      </w:r>
    </w:p>
    <w:p>
      <w:pPr>
        <w:spacing w:after="80" w:before="80" w:line="320"/>
        <w:jc w:val="left"/>
      </w:pPr>
      <w:r>
        <w:rPr>
          <w:rFonts w:ascii="Arial" w:cs="Arial" w:eastAsia="Arial" w:hAnsi="Arial"/>
          <w:b w:val="false"/>
          <w:bCs w:val="false"/>
          <w:i w:val="false"/>
          <w:iCs w:val="false"/>
          <w:color w:val="1A1A1A"/>
          <w:sz w:val="20"/>
          <w:szCs w:val="20"/>
        </w:rPr>
        <w:t xml:space="preserve">实际工资支出受到年终奖发放月、请假、病假、离职交接等因素影响，不可能全年12个月精确到分完全相同。被告向业主收取的是事先设定的固定摊销数字，而非真实发生的用工成本。这意味着被告每年以固定数字作为"运行成本"基础向业主定价，而非以实际支出为据。</w:t>
      </w:r>
    </w:p>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15.3 矛盾三：2022年涨价逻辑与人工成本数据正面冲突</w:t>
      </w:r>
    </w:p>
    <w:p>
      <w:pPr>
        <w:spacing w:after="80" w:before="80" w:line="320"/>
        <w:jc w:val="left"/>
      </w:pPr>
      <w:r>
        <w:rPr>
          <w:rFonts w:ascii="Arial" w:cs="Arial" w:eastAsia="Arial" w:hAnsi="Arial"/>
          <w:b w:val="false"/>
          <w:bCs w:val="false"/>
          <w:i w:val="false"/>
          <w:iCs w:val="false"/>
          <w:color w:val="1A1A1A"/>
          <w:sz w:val="20"/>
          <w:szCs w:val="20"/>
        </w:rPr>
        <w:t xml:space="preserve">【数据来源】热水成本分摊表（2018-2024年全部数据）</w:t>
      </w:r>
    </w:p>
    <w:p>
      <w:pPr>
        <w:spacing w:after="0" w:before="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800"/>
        <w:gridCol w:w="2500"/>
        <w:gridCol w:w="3006"/>
      </w:tblGrid>
      <w:tr>
        <w:trPr>
          <w:tblHeader/>
        </w:trPr>
        <w:tc>
          <w:tcPr>
            <w:tcW w:type="dxa" w:w="10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年份</w:t>
            </w:r>
          </w:p>
        </w:tc>
        <w:tc>
          <w:tcPr>
            <w:tcW w:type="dxa" w:w="12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热水单价</w:t>
            </w:r>
          </w:p>
        </w:tc>
        <w:tc>
          <w:tcPr>
            <w:tcW w:type="dxa" w:w="18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人工成本</w:t>
            </w:r>
          </w:p>
        </w:tc>
        <w:tc>
          <w:tcPr>
            <w:tcW w:type="dxa" w:w="2500"/>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相比上年变化（人工）</w:t>
            </w:r>
          </w:p>
        </w:tc>
        <w:tc>
          <w:tcPr>
            <w:tcW w:type="dxa" w:w="3006"/>
            <w:tcBorders>
              <w:top w:val="single" w:color="CCCCCC" w:sz="4"/>
              <w:left w:val="single" w:color="CCCCCC" w:sz="4"/>
              <w:bottom w:val="single" w:color="CCCCCC" w:sz="4"/>
              <w:right w:val="single" w:color="CCCCCC" w:sz="4"/>
            </w:tcBorders>
            <w:shd w:fill="1B4F72" w:val="clear"/>
            <w:tcMar>
              <w:top w:type="dxa" w:w="80"/>
              <w:left w:type="dxa" w:w="120"/>
              <w:bottom w:type="dxa" w:w="80"/>
              <w:right w:type="dxa" w:w="120"/>
            </w:tcMar>
            <w:vAlign w:val="center"/>
          </w:tcPr>
          <w:p>
            <w:pPr>
              <w:spacing w:after="80" w:before="80" w:line="320"/>
              <w:jc w:val="left"/>
            </w:pPr>
            <w:r>
              <w:rPr>
                <w:rFonts w:ascii="Arial" w:cs="Arial" w:eastAsia="Arial" w:hAnsi="Arial"/>
                <w:b/>
                <w:bCs/>
                <w:i w:val="false"/>
                <w:iCs w:val="false"/>
                <w:color w:val="FFFFFF"/>
                <w:sz w:val="19"/>
                <w:szCs w:val="19"/>
              </w:rPr>
              <w:t xml:space="preserve">相比上年变化（单价）</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2019</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39元</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355,783元</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+81,624元 (+29.7%)</w:t>
            </w:r>
          </w:p>
        </w:tc>
        <w:tc>
          <w:tcPr>
            <w:tcW w:type="dxa" w:w="30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不变</w:t>
            </w:r>
          </w:p>
        </w:tc>
      </w:tr>
      <w:tr>
        <w:tc>
          <w:tcPr>
            <w:tcW w:type="dxa" w:w="10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2020</w:t>
            </w:r>
          </w:p>
        </w:tc>
        <w:tc>
          <w:tcPr>
            <w:tcW w:type="dxa" w:w="12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39元</w:t>
            </w:r>
          </w:p>
        </w:tc>
        <w:tc>
          <w:tcPr>
            <w:tcW w:type="dxa" w:w="18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365,832元</w:t>
            </w:r>
          </w:p>
        </w:tc>
        <w:tc>
          <w:tcPr>
            <w:tcW w:type="dxa" w:w="25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+10,050元 (+2.8%)</w:t>
            </w:r>
          </w:p>
        </w:tc>
        <w:tc>
          <w:tcPr>
            <w:tcW w:type="dxa" w:w="3006"/>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不变</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2021</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39元</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389,169元</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+23,337元 (+6.4%)</w:t>
            </w:r>
          </w:p>
        </w:tc>
        <w:tc>
          <w:tcPr>
            <w:tcW w:type="dxa" w:w="30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不变</w:t>
            </w:r>
          </w:p>
        </w:tc>
      </w:tr>
      <w:tr>
        <w:tc>
          <w:tcPr>
            <w:tcW w:type="dxa" w:w="1000"/>
            <w:tcBorders>
              <w:top w:val="single" w:color="CCCCCC" w:sz="4"/>
              <w:left w:val="single" w:color="CCCCCC" w:sz="4"/>
              <w:bottom w:val="single" w:color="CCCCCC" w:sz="4"/>
              <w:right w:val="single" w:color="CCCCCC" w:sz="4"/>
            </w:tcBorders>
            <w:shd w:fill="F7F9FC" w:val="clear"/>
            <w:tcMar>
              <w:top w:type="dxa" w:w="60"/>
              <w:left w:type="dxa" w:w="120"/>
              <w:bottom w:type="dxa" w:w="60"/>
              <w:right w:type="dxa" w:w="120"/>
            </w:tcMar>
          </w:tcPr>
          <w:p>
            <w:pPr>
              <w:spacing w:after="80" w:before="80" w:line="320"/>
              <w:jc w:val="left"/>
            </w:pPr>
            <w:r>
              <w:rPr>
                <w:rFonts w:ascii="Arial" w:cs="Arial" w:eastAsia="Arial" w:hAnsi="Arial"/>
                <w:b/>
                <w:bCs/>
                <w:i w:val="false"/>
                <w:iCs w:val="false"/>
                <w:color w:val="1A1A1A"/>
                <w:sz w:val="19"/>
                <w:szCs w:val="19"/>
              </w:rPr>
              <w:t xml:space="preserve">2022</w:t>
            </w:r>
          </w:p>
        </w:tc>
        <w:tc>
          <w:tcPr>
            <w:tcW w:type="dxa" w:w="12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922B21"/>
                <w:sz w:val="19"/>
                <w:szCs w:val="19"/>
              </w:rPr>
              <w:t xml:space="preserve">42元 (+7.7%)</w:t>
            </w:r>
          </w:p>
        </w:tc>
        <w:tc>
          <w:tcPr>
            <w:tcW w:type="dxa" w:w="18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922B21"/>
                <w:sz w:val="19"/>
                <w:szCs w:val="19"/>
              </w:rPr>
              <w:t xml:space="preserve">344,663元</w:t>
            </w:r>
          </w:p>
        </w:tc>
        <w:tc>
          <w:tcPr>
            <w:tcW w:type="dxa" w:w="25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922B21"/>
                <w:sz w:val="19"/>
                <w:szCs w:val="19"/>
              </w:rPr>
              <w:t xml:space="preserve">-44,506元 (-11.4%)</w:t>
            </w:r>
          </w:p>
        </w:tc>
        <w:tc>
          <w:tcPr>
            <w:tcW w:type="dxa" w:w="3006"/>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922B21"/>
                <w:sz w:val="19"/>
                <w:szCs w:val="19"/>
              </w:rPr>
              <w:t xml:space="preserve">↑涨价7.7%</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2023</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42元</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367,543元</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+22,880元 (+6.6%)</w:t>
            </w:r>
          </w:p>
        </w:tc>
        <w:tc>
          <w:tcPr>
            <w:tcW w:type="dxa" w:w="300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80" w:before="80" w:line="320"/>
              <w:jc w:val="left"/>
            </w:pPr>
            <w:r>
              <w:rPr>
                <w:rFonts w:ascii="Arial" w:cs="Arial" w:eastAsia="Arial" w:hAnsi="Arial"/>
                <w:b w:val="false"/>
                <w:bCs w:val="false"/>
                <w:i w:val="false"/>
                <w:iCs w:val="false"/>
                <w:color w:val="1A1A1A"/>
                <w:sz w:val="19"/>
                <w:szCs w:val="19"/>
              </w:rPr>
              <w:t xml:space="preserve">不变</w:t>
            </w:r>
          </w:p>
        </w:tc>
      </w:tr>
    </w:tbl>
    <w:p>
      <w:pPr>
        <w:spacing w:after="0" w:before="0"/>
      </w:pPr>
      <w:r>
        <w:t xml:space="preserve"/>
      </w:r>
    </w:p>
    <w:tbl>
      <w:tblPr>
        <w:tblW w:type="dxa" w:w="9506"/>
        <w:tblBorders>
          <w:top w:val="single" w:color="922B21" w:sz="12"/>
          <w:left w:val="single" w:color="922B21" w:sz="12"/>
          <w:bottom w:val="single" w:color="922B21" w:sz="4"/>
          <w:right w:val="single" w:color="922B21"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FADBD8" w:val="clear"/>
            <w:tcMar>
              <w:top w:type="dxa" w:w="100"/>
              <w:left w:type="dxa" w:w="160"/>
              <w:bottom w:type="dxa" w:w="100"/>
              <w:right w:type="dxa" w:w="160"/>
            </w:tcMar>
          </w:tcPr>
          <w:p>
            <w:pPr>
              <w:spacing w:after="60" w:before="0"/>
            </w:pPr>
            <w:r>
              <w:rPr>
                <w:rFonts w:ascii="Arial" w:cs="Arial" w:eastAsia="Arial" w:hAnsi="Arial"/>
                <w:b/>
                <w:bCs/>
                <w:color w:val="922B21"/>
                <w:sz w:val="20"/>
                <w:szCs w:val="20"/>
              </w:rPr>
              <w:t xml:space="preserve">2022年涨价逻辑的致命悖论：</w:t>
            </w:r>
          </w:p>
          <w:p>
            <w:pPr>
              <w:spacing w:after="20" w:before="0" w:line="300"/>
            </w:pPr>
            <w:r>
              <w:rPr>
                <w:rFonts w:ascii="Arial" w:cs="Arial" w:eastAsia="Arial" w:hAnsi="Arial"/>
                <w:color w:val="1A1A1A"/>
                <w:sz w:val="19"/>
                <w:szCs w:val="19"/>
              </w:rPr>
              <w:t xml:space="preserve">被告主张热水费需要上涨是因为运行成本（包括人工）上升。但热水成本分摊表（被告自制）显示：</w:t>
            </w:r>
          </w:p>
          <w:p>
            <w:pPr>
              <w:spacing w:after="20" w:before="0" w:line="300"/>
            </w:pPr>
            <w:r>
              <w:rPr>
                <w:rFonts w:ascii="Arial" w:cs="Arial" w:eastAsia="Arial" w:hAnsi="Arial"/>
                <w:color w:val="1A1A1A"/>
                <w:sz w:val="19"/>
                <w:szCs w:val="19"/>
              </w:rPr>
              <w:t xml:space="preserve"/>
            </w:r>
          </w:p>
          <w:p>
            <w:pPr>
              <w:spacing w:after="20" w:before="0" w:line="300"/>
            </w:pPr>
            <w:r>
              <w:rPr>
                <w:rFonts w:ascii="Arial" w:cs="Arial" w:eastAsia="Arial" w:hAnsi="Arial"/>
                <w:color w:val="1A1A1A"/>
                <w:sz w:val="19"/>
                <w:szCs w:val="19"/>
              </w:rPr>
              <w:t xml:space="preserve">人工成本在2019年增长29.7%时，没有涨价；在2020、2021年持续增长时，没有涨价。</w:t>
            </w:r>
          </w:p>
          <w:p>
            <w:pPr>
              <w:spacing w:after="20" w:before="0" w:line="300"/>
            </w:pPr>
            <w:r>
              <w:rPr>
                <w:rFonts w:ascii="Arial" w:cs="Arial" w:eastAsia="Arial" w:hAnsi="Arial"/>
                <w:color w:val="1A1A1A"/>
                <w:sz w:val="19"/>
                <w:szCs w:val="19"/>
              </w:rPr>
              <w:t xml:space="preserve"/>
            </w:r>
          </w:p>
          <w:p>
            <w:pPr>
              <w:spacing w:after="20" w:before="0" w:line="300"/>
            </w:pPr>
            <w:r>
              <w:rPr>
                <w:rFonts w:ascii="Arial" w:cs="Arial" w:eastAsia="Arial" w:hAnsi="Arial"/>
                <w:color w:val="1A1A1A"/>
                <w:sz w:val="19"/>
                <w:szCs w:val="19"/>
              </w:rPr>
              <w:t xml:space="preserve">唯独2022年——人工成本下降了44,506元（-11.4%）——却发生了本案6年中唯一一次涨价（+7.7%）。</w:t>
            </w:r>
          </w:p>
          <w:p>
            <w:pPr>
              <w:spacing w:after="20" w:before="0" w:line="300"/>
            </w:pPr>
            <w:r>
              <w:rPr>
                <w:rFonts w:ascii="Arial" w:cs="Arial" w:eastAsia="Arial" w:hAnsi="Arial"/>
                <w:color w:val="1A1A1A"/>
                <w:sz w:val="19"/>
                <w:szCs w:val="19"/>
              </w:rPr>
              <w:t xml:space="preserve"/>
            </w:r>
          </w:p>
          <w:p>
            <w:pPr>
              <w:spacing w:after="20" w:before="0" w:line="300"/>
            </w:pPr>
            <w:r>
              <w:rPr>
                <w:rFonts w:ascii="Arial" w:cs="Arial" w:eastAsia="Arial" w:hAnsi="Arial"/>
                <w:color w:val="1A1A1A"/>
                <w:sz w:val="19"/>
                <w:szCs w:val="19"/>
              </w:rPr>
              <w:t xml:space="preserve">这是用被告自己的账目数据直接反驳被告的涨价理由：涨价理由与成本数据在方向上完全相反。</w:t>
            </w:r>
          </w:p>
        </w:tc>
      </w:tr>
    </w:tbl>
    <w:p>
      <w:pPr>
        <w:spacing w:after="0" w:before="0"/>
      </w:pPr>
      <w:r>
        <w:t xml:space="preserve"/>
      </w:r>
    </w:p>
    <w:p>
      <w:pPr>
        <w:spacing w:after="80" w:before="80" w:line="320"/>
        <w:jc w:val="left"/>
      </w:pPr>
      <w:r>
        <w:rPr>
          <w:rFonts w:ascii="Arial" w:cs="Arial" w:eastAsia="Arial" w:hAnsi="Arial"/>
          <w:b w:val="false"/>
          <w:bCs w:val="false"/>
          <w:i w:val="false"/>
          <w:iCs w:val="false"/>
          <w:color w:val="1A1A1A"/>
          <w:sz w:val="20"/>
          <w:szCs w:val="20"/>
        </w:rPr>
        <w:t xml:space="preserve">被告无法用以下理由解释：</w:t>
      </w:r>
    </w:p>
    <w:p>
      <w:pPr>
        <w:pStyle w:val="ListParagraph"/>
        <w:numPr>
          <w:ilvl w:val="0"/>
          <w:numId w:val="2"/>
        </w:numPr>
        <w:spacing w:after="40" w:before="40" w:line="300"/>
      </w:pPr>
      <w:r>
        <w:rPr>
          <w:rFonts w:ascii="Arial" w:cs="Arial" w:eastAsia="Arial" w:hAnsi="Arial"/>
          <w:color w:val="1A1A1A"/>
          <w:sz w:val="20"/>
          <w:szCs w:val="20"/>
        </w:rPr>
        <w:t xml:space="preserve">无法用"能源价格上涨"解释：能源价格上涨不影响人工成本下降的事实，且2022年燃气费73,154元与2021年52,589元相比确实上涨，但涨幅（38,565元）远小于人工成本下降幅度（44,506元），净效果是总成本有所上升，但人工费内部下降这一事实不能用能源掩盖</w:t>
      </w:r>
    </w:p>
    <w:p>
      <w:pPr>
        <w:pStyle w:val="ListParagraph"/>
        <w:numPr>
          <w:ilvl w:val="0"/>
          <w:numId w:val="2"/>
        </w:numPr>
        <w:spacing w:after="40" w:before="40" w:line="300"/>
      </w:pPr>
      <w:r>
        <w:rPr>
          <w:rFonts w:ascii="Arial" w:cs="Arial" w:eastAsia="Arial" w:hAnsi="Arial"/>
          <w:color w:val="1A1A1A"/>
          <w:sz w:val="20"/>
          <w:szCs w:val="20"/>
        </w:rPr>
        <w:t xml:space="preserve">无法用"一次性大额维修"解释：2022年锅炉维修费34,421元确实远高于2021年6,233元（+28,188元），这是总支出增加的主要原因，但维修费属于偶发性支出，不是持续性成本，不构成永久性调价基础</w:t>
      </w:r>
    </w:p>
    <w:p>
      <w:pPr>
        <w:pStyle w:val="ListParagraph"/>
        <w:numPr>
          <w:ilvl w:val="0"/>
          <w:numId w:val="2"/>
        </w:numPr>
        <w:spacing w:after="40" w:before="40" w:line="300"/>
      </w:pPr>
      <w:r>
        <w:rPr>
          <w:rFonts w:ascii="Arial" w:cs="Arial" w:eastAsia="Arial" w:hAnsi="Arial"/>
          <w:color w:val="1A1A1A"/>
          <w:sz w:val="20"/>
          <w:szCs w:val="20"/>
        </w:rPr>
        <w:t xml:space="preserve">更无法解释：若维修费是涨价原因，则应在2022年临时收取维修补贴，而非永久将单价从39元调整至42元并此后维持不变</w:t>
      </w:r>
    </w:p>
    <w:p>
      <w:pPr>
        <w:spacing w:after="0" w:before="0"/>
      </w:pPr>
      <w:r>
        <w:t xml:space="preserve"/>
      </w:r>
    </w:p>
    <w:p>
      <w:r>
        <w:br w:type="page"/>
      </w:r>
    </w:p>
    <w:p>
      <w:pPr>
        <w:pStyle w:val="Heading1"/>
        <w:pageBreakBefore/>
        <w:shd w:fill="1B4F72" w:val="clear"/>
        <w:spacing w:after="160" w:before="0"/>
        <w:ind w:left="200" w:right="200"/>
      </w:pPr>
      <w:r>
        <w:rPr>
          <w:rFonts w:ascii="Arial" w:cs="Arial" w:eastAsia="Arial" w:hAnsi="Arial"/>
          <w:b/>
          <w:bCs/>
          <w:color w:val="FFFFFF"/>
          <w:sz w:val="32"/>
          <w:szCs w:val="32"/>
        </w:rPr>
        <w:t xml:space="preserve">十六、给律师的补充说明与庭审建议</w:t>
      </w:r>
    </w:p>
    <w:p>
      <w:pPr>
        <w:pStyle w:val="Heading2"/>
        <w:pBdr>
          <w:bottom w:val="single" w:color="1B4F72" w:sz="4"/>
        </w:pBdr>
        <w:spacing w:after="100" w:before="240"/>
      </w:pPr>
      <w:r>
        <w:rPr>
          <w:rFonts w:ascii="Arial" w:cs="Arial" w:eastAsia="Arial" w:hAnsi="Arial"/>
          <w:b/>
          <w:bCs/>
          <w:color w:val="1B4F72"/>
          <w:sz w:val="26"/>
          <w:szCs w:val="26"/>
        </w:rPr>
        <w:t xml:space="preserve">16.1 主动引用对方证据（以子之矛攻子之盾）</w:t>
      </w:r>
    </w:p>
    <w:p>
      <w:pPr>
        <w:spacing w:after="80" w:before="80" w:line="320"/>
        <w:jc w:val="left"/>
      </w:pPr>
      <w:r>
        <w:rPr>
          <w:rFonts w:ascii="Arial" w:cs="Arial" w:eastAsia="Arial" w:hAnsi="Arial"/>
          <w:b w:val="false"/>
          <w:bCs w:val="false"/>
          <w:i w:val="false"/>
          <w:iCs w:val="false"/>
          <w:color w:val="1A1A1A"/>
          <w:sz w:val="20"/>
          <w:szCs w:val="20"/>
        </w:rPr>
        <w:t xml:space="preserve">被告提交的德同评估报告已将人工成本31,814.23元/月明确列入热水费成本项——建议原告代理律师主动在质证阶段指出这一页，将被告的证据转化为支持原告主张的证据。这是本案最有力的操作。</w:t>
      </w:r>
    </w:p>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16.2 申请司法鉴定</w:t>
      </w:r>
    </w:p>
    <w:p>
      <w:pPr>
        <w:spacing w:after="80" w:before="80" w:line="320"/>
        <w:jc w:val="left"/>
      </w:pPr>
      <w:r>
        <w:rPr>
          <w:rFonts w:ascii="Arial" w:cs="Arial" w:eastAsia="Arial" w:hAnsi="Arial"/>
          <w:b w:val="false"/>
          <w:bCs w:val="false"/>
          <w:i w:val="false"/>
          <w:iCs w:val="false"/>
          <w:color w:val="1A1A1A"/>
          <w:sz w:val="20"/>
          <w:szCs w:val="20"/>
        </w:rPr>
        <w:t xml:space="preserve">以"被告单方委托评估报告数据来源不清、资质存疑"为由，申请法院委托具有热力工程或建筑节能评估资质的机构重新鉴定热水运营成本。届时物业须向司法鉴定机构提供全部原始财务凭证（水费发票、燃气发票、工资银行流水、与能源公司的结算单）。</w:t>
      </w:r>
    </w:p>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16.3 个税申报表的证明力</w:t>
      </w:r>
    </w:p>
    <w:p>
      <w:pPr>
        <w:spacing w:after="80" w:before="80" w:line="320"/>
        <w:jc w:val="left"/>
      </w:pPr>
      <w:r>
        <w:rPr>
          <w:rFonts w:ascii="Arial" w:cs="Arial" w:eastAsia="Arial" w:hAnsi="Arial"/>
          <w:b w:val="false"/>
          <w:bCs w:val="false"/>
          <w:i w:val="false"/>
          <w:iCs w:val="false"/>
          <w:color w:val="1A1A1A"/>
          <w:sz w:val="20"/>
          <w:szCs w:val="20"/>
        </w:rPr>
        <w:t xml:space="preserve">被告提交的2022、2023年个税申报表是向税务机关提交的法定文件，其记载的工资数据是被告自己确认的、向国家报告的数字。被告不能在庭审中主张"这些人工成本另有归属"，否则构成对税务申报数据的自我否定。特别注意：王文乾、马春生专项扣除=0，说明被告从未为其缴纳社保，而德同报告却将社保列入成本向业主收取，属于虚列成本。</w:t>
      </w:r>
    </w:p>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16.4 热水成本分摊表的"固定数字"的质证价值</w:t>
      </w:r>
    </w:p>
    <w:p>
      <w:pPr>
        <w:spacing w:after="80" w:before="80" w:line="320"/>
        <w:jc w:val="left"/>
      </w:pPr>
      <w:r>
        <w:rPr>
          <w:rFonts w:ascii="Arial" w:cs="Arial" w:eastAsia="Arial" w:hAnsi="Arial"/>
          <w:b w:val="false"/>
          <w:bCs w:val="false"/>
          <w:i w:val="false"/>
          <w:iCs w:val="false"/>
          <w:color w:val="1A1A1A"/>
          <w:sz w:val="20"/>
          <w:szCs w:val="20"/>
        </w:rPr>
        <w:t xml:space="preserve">在庭审中展示2022年和2023年人工成本逐月数据（每月精确到分相同），向法庭说明：这不是根据实际发放工资得出的数字，而是事先设定的预算摊销。要求被告出示工资银行发放流水，以证明实际发放与热水成本表的人工数字是否吻合。</w:t>
      </w:r>
    </w:p>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16.5 涨价悖论的庭审表述建议</w:t>
      </w:r>
    </w:p>
    <w:p>
      <w:pPr>
        <w:spacing w:after="80" w:before="80" w:line="320"/>
        <w:jc w:val="left"/>
      </w:pPr>
      <w:r>
        <w:rPr>
          <w:rFonts w:ascii="Arial" w:cs="Arial" w:eastAsia="Arial" w:hAnsi="Arial"/>
          <w:b w:val="false"/>
          <w:bCs w:val="false"/>
          <w:i w:val="false"/>
          <w:iCs w:val="false"/>
          <w:color w:val="1A1A1A"/>
          <w:sz w:val="20"/>
          <w:szCs w:val="20"/>
        </w:rPr>
        <w:t xml:space="preserve">建议律师在庭审中将以下两个数字并列展示：</w:t>
      </w:r>
    </w:p>
    <w:p>
      <w:pPr>
        <w:pStyle w:val="ListParagraph"/>
        <w:numPr>
          <w:ilvl w:val="0"/>
          <w:numId w:val="2"/>
        </w:numPr>
        <w:spacing w:after="40" w:before="40" w:line="300"/>
      </w:pPr>
      <w:r>
        <w:rPr>
          <w:rFonts w:ascii="Arial" w:cs="Arial" w:eastAsia="Arial" w:hAnsi="Arial"/>
          <w:color w:val="1A1A1A"/>
          <w:sz w:val="20"/>
          <w:szCs w:val="20"/>
        </w:rPr>
        <w:t xml:space="preserve">2021→2022年，热水单价从39元涨至42元（被告执行，+7.7%）</w:t>
      </w:r>
    </w:p>
    <w:p>
      <w:pPr>
        <w:pStyle w:val="ListParagraph"/>
        <w:numPr>
          <w:ilvl w:val="0"/>
          <w:numId w:val="2"/>
        </w:numPr>
        <w:spacing w:after="40" w:before="40" w:line="300"/>
      </w:pPr>
      <w:r>
        <w:rPr>
          <w:rFonts w:ascii="Arial" w:cs="Arial" w:eastAsia="Arial" w:hAnsi="Arial"/>
          <w:color w:val="1A1A1A"/>
          <w:sz w:val="20"/>
          <w:szCs w:val="20"/>
        </w:rPr>
        <w:t xml:space="preserve">2021→2022年，人工成本从389,169元降至344,663元（被告自己的成本表，-11.4%）</w:t>
      </w:r>
    </w:p>
    <w:p>
      <w:pPr>
        <w:spacing w:after="80" w:before="80" w:line="320"/>
        <w:jc w:val="left"/>
      </w:pPr>
      <w:r>
        <w:rPr>
          <w:rFonts w:ascii="Arial" w:cs="Arial" w:eastAsia="Arial" w:hAnsi="Arial"/>
          <w:b w:val="false"/>
          <w:bCs w:val="false"/>
          <w:i w:val="false"/>
          <w:iCs w:val="false"/>
          <w:color w:val="1A1A1A"/>
          <w:sz w:val="20"/>
          <w:szCs w:val="20"/>
        </w:rPr>
        <w:t xml:space="preserve">并直接向被告代理人提问："如果涨价的原因是运行成本（含人工）上升，请解释为什么人工成本在涨价的同一年下降了44,506元？"被告对此没有合理答案。</w:t>
      </w:r>
    </w:p>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16.6 能源公司返还款项的双重计列</w:t>
      </w:r>
    </w:p>
    <w:p>
      <w:pPr>
        <w:spacing w:after="80" w:before="80" w:line="320"/>
        <w:jc w:val="left"/>
      </w:pPr>
      <w:r>
        <w:rPr>
          <w:rFonts w:ascii="Arial" w:cs="Arial" w:eastAsia="Arial" w:hAnsi="Arial"/>
          <w:b w:val="false"/>
          <w:bCs w:val="false"/>
          <w:i w:val="false"/>
          <w:iCs w:val="false"/>
          <w:color w:val="1A1A1A"/>
          <w:sz w:val="20"/>
          <w:szCs w:val="20"/>
        </w:rPr>
        <w:t xml:space="preserve">建议庭审中要求被告提供能源公司全部结算单，并与热水成本分摊表逐年对账：如结算单显示已按"人工费"项目补偿被告，而该补偿未从成本表中扣减，则被告存在向能源公司和业主双重收取人工费的事实，可以此申请法院调取完整账目。</w:t>
      </w:r>
    </w:p>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16.7 双倍返还条款的独立价值</w:t>
      </w:r>
    </w:p>
    <w:p>
      <w:pPr>
        <w:spacing w:after="80" w:before="80" w:line="320"/>
        <w:jc w:val="left"/>
      </w:pPr>
      <w:r>
        <w:rPr>
          <w:rFonts w:ascii="Arial" w:cs="Arial" w:eastAsia="Arial" w:hAnsi="Arial"/>
          <w:b w:val="false"/>
          <w:bCs w:val="false"/>
          <w:i w:val="false"/>
          <w:iCs w:val="false"/>
          <w:color w:val="1A1A1A"/>
          <w:sz w:val="20"/>
          <w:szCs w:val="20"/>
        </w:rPr>
        <w:t xml:space="preserve">物业服务合同第二十四条对"擅自提高收费标准"已支付部分明确赋予"双倍返还"请求权。将物业费已覆盖的人工成本另立名目加入热水费，属于变相提高收费标准，请求双倍返还在合同层面有直接依据，无需依赖法规层面的惩罚性赔偿，更易被法院支持。</w:t>
      </w:r>
    </w:p>
    <w:p>
      <w:pPr>
        <w:spacing w:after="0" w:before="0"/>
      </w:pPr>
      <w:r>
        <w:t xml:space="preserve"/>
      </w:r>
    </w:p>
    <w:p>
      <w:pPr>
        <w:pStyle w:val="Heading2"/>
        <w:pBdr>
          <w:bottom w:val="single" w:color="1B4F72" w:sz="4"/>
        </w:pBdr>
        <w:spacing w:after="100" w:before="240"/>
      </w:pPr>
      <w:r>
        <w:rPr>
          <w:rFonts w:ascii="Arial" w:cs="Arial" w:eastAsia="Arial" w:hAnsi="Arial"/>
          <w:b/>
          <w:bCs/>
          <w:color w:val="1B4F72"/>
          <w:sz w:val="26"/>
          <w:szCs w:val="26"/>
        </w:rPr>
        <w:t xml:space="preserve">16.8 类案参考：普陀区同法院判例</w:t>
      </w:r>
    </w:p>
    <w:p>
      <w:pPr>
        <w:spacing w:after="80" w:before="80" w:line="320"/>
        <w:jc w:val="left"/>
      </w:pPr>
      <w:r>
        <w:rPr>
          <w:rFonts w:ascii="Arial" w:cs="Arial" w:eastAsia="Arial" w:hAnsi="Arial"/>
          <w:b w:val="false"/>
          <w:bCs w:val="false"/>
          <w:i w:val="false"/>
          <w:iCs w:val="false"/>
          <w:color w:val="1A1A1A"/>
          <w:sz w:val="20"/>
          <w:szCs w:val="20"/>
        </w:rPr>
        <w:t xml:space="preserve">（2021）沪0107民初6549号，上海市普陀区人民法院，2023年1月31日一审，认定：物业"擅自列支不应由业主承担的成本"违规，判决返还4,000万元。该案虽已发回重审，但法律逻辑未被否定。本案诉讼法院与该案相同，援引同法院的法律逻辑具有参考意义。</w:t>
      </w:r>
    </w:p>
    <w:p>
      <w:pPr>
        <w:spacing w:after="0" w:before="0"/>
      </w:pPr>
      <w:r>
        <w:t xml:space="preserve"/>
      </w:r>
    </w:p>
    <w:p>
      <w:pPr>
        <w:spacing w:after="0" w:before="0"/>
      </w:pPr>
      <w:r>
        <w:t xml:space="preserve"/>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第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页  ·  律师工作文件  ·  仅供庭审准备使用</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人工费重复收取 · 庭审分析报告（第六版）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B4F72"/>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2026-04-12T05:04:34.487Z</dcterms:created>
  <dcterms:modified xsi:type="dcterms:W3CDTF">2026-04-12T05:04:34.487Z</dcterms:modified>
</cp:coreProperties>
</file>

<file path=docProps/custom.xml><?xml version="1.0" encoding="utf-8"?>
<Properties xmlns="http://schemas.openxmlformats.org/officeDocument/2006/custom-properties" xmlns:vt="http://schemas.openxmlformats.org/officeDocument/2006/docPropsVTypes"/>
</file>