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ED69" w14:textId="77777777" w:rsidR="004B723D" w:rsidRPr="00573524" w:rsidRDefault="00000000">
      <w:pPr>
        <w:pStyle w:val="aa"/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案件综合评估及庭审策略（法条引用版）</w:t>
      </w:r>
    </w:p>
    <w:p w14:paraId="3169B820" w14:textId="77777777" w:rsidR="004B723D" w:rsidRPr="00573524" w:rsidRDefault="00000000">
      <w:pPr>
        <w:pStyle w:val="1"/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一、案件总体评估</w:t>
      </w:r>
    </w:p>
    <w:p w14:paraId="3FC97B71" w14:textId="77777777" w:rsidR="004B723D" w:rsidRPr="00573524" w:rsidRDefault="00000000">
      <w:pPr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本案表面为热水费退费纠纷，实质为通过个体诉讼撬动物业收费合法性、设备产权及经营合法性的结构性案件。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综合评估：</w:t>
      </w:r>
      <w:r w:rsidRPr="00573524">
        <w:rPr>
          <w:rFonts w:ascii="宋体" w:eastAsia="宋体" w:hAnsi="宋体"/>
          <w:lang w:eastAsia="zh-CN"/>
        </w:rPr>
        <w:br/>
        <w:t>1. 退费请求胜诉概率：60%–75%</w:t>
      </w:r>
      <w:r w:rsidRPr="00573524">
        <w:rPr>
          <w:rFonts w:ascii="宋体" w:eastAsia="宋体" w:hAnsi="宋体"/>
          <w:lang w:eastAsia="zh-CN"/>
        </w:rPr>
        <w:br/>
        <w:t>2. 法院认定收费存在问题概率：约50%</w:t>
      </w:r>
      <w:r w:rsidRPr="00573524">
        <w:rPr>
          <w:rFonts w:ascii="宋体" w:eastAsia="宋体" w:hAnsi="宋体"/>
          <w:lang w:eastAsia="zh-CN"/>
        </w:rPr>
        <w:br/>
        <w:t>3. 涉及经营合法性认定概率：30%–40%</w:t>
      </w:r>
      <w:r w:rsidRPr="00573524">
        <w:rPr>
          <w:rFonts w:ascii="宋体" w:eastAsia="宋体" w:hAnsi="宋体"/>
          <w:lang w:eastAsia="zh-CN"/>
        </w:rPr>
        <w:br/>
        <w:t>4. 实质触及产权及利益分配问题概率：20%–30%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结论：案件具备胜诉基础，但法院可能仅作“最小裁判”，回避深层问题。</w:t>
      </w:r>
    </w:p>
    <w:p w14:paraId="2F917365" w14:textId="77777777" w:rsidR="004B723D" w:rsidRPr="00573524" w:rsidRDefault="00000000">
      <w:pPr>
        <w:pStyle w:val="1"/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二、核心法律依据</w:t>
      </w:r>
    </w:p>
    <w:p w14:paraId="7A04BF42" w14:textId="77777777" w:rsidR="004B723D" w:rsidRPr="00573524" w:rsidRDefault="00000000">
      <w:pPr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1. 《民法典》第271条：建筑区划内的公共设施属于业主共有。</w:t>
      </w:r>
      <w:r w:rsidRPr="00573524">
        <w:rPr>
          <w:rFonts w:ascii="宋体" w:eastAsia="宋体" w:hAnsi="宋体"/>
          <w:lang w:eastAsia="zh-CN"/>
        </w:rPr>
        <w:br/>
        <w:t>2. 《民法典》第273条：业主对共有部分享有权利并承担义务。</w:t>
      </w:r>
      <w:r w:rsidRPr="00573524">
        <w:rPr>
          <w:rFonts w:ascii="宋体" w:eastAsia="宋体" w:hAnsi="宋体"/>
          <w:lang w:eastAsia="zh-CN"/>
        </w:rPr>
        <w:br/>
        <w:t>3. 《民法典》第278条：改建、重建及重大事项须经业主共同决定。</w:t>
      </w:r>
      <w:r w:rsidRPr="00573524">
        <w:rPr>
          <w:rFonts w:ascii="宋体" w:eastAsia="宋体" w:hAnsi="宋体"/>
          <w:lang w:eastAsia="zh-CN"/>
        </w:rPr>
        <w:br/>
        <w:t>4. 《民法典》第282条：利用共有部分产生的收益归业主共有。</w:t>
      </w:r>
      <w:r w:rsidRPr="00573524">
        <w:rPr>
          <w:rFonts w:ascii="宋体" w:eastAsia="宋体" w:hAnsi="宋体"/>
          <w:lang w:eastAsia="zh-CN"/>
        </w:rPr>
        <w:br/>
        <w:t>5. 《民法典》第498条：格式条款应作不利于提供方解释。</w:t>
      </w:r>
      <w:r w:rsidRPr="00573524">
        <w:rPr>
          <w:rFonts w:ascii="宋体" w:eastAsia="宋体" w:hAnsi="宋体"/>
          <w:lang w:eastAsia="zh-CN"/>
        </w:rPr>
        <w:br/>
        <w:t>6. 《物业管理条例》第55条：利用共用设施经营须经业主同意。</w:t>
      </w:r>
      <w:r w:rsidRPr="00573524">
        <w:rPr>
          <w:rFonts w:ascii="宋体" w:eastAsia="宋体" w:hAnsi="宋体"/>
          <w:lang w:eastAsia="zh-CN"/>
        </w:rPr>
        <w:br/>
        <w:t>7. 《物业服务收费管理办法》第11条：</w:t>
      </w:r>
      <w:proofErr w:type="gramStart"/>
      <w:r w:rsidRPr="00573524">
        <w:rPr>
          <w:rFonts w:ascii="宋体" w:eastAsia="宋体" w:hAnsi="宋体"/>
          <w:lang w:eastAsia="zh-CN"/>
        </w:rPr>
        <w:t>物业费</w:t>
      </w:r>
      <w:proofErr w:type="gramEnd"/>
      <w:r w:rsidRPr="00573524">
        <w:rPr>
          <w:rFonts w:ascii="宋体" w:eastAsia="宋体" w:hAnsi="宋体"/>
          <w:lang w:eastAsia="zh-CN"/>
        </w:rPr>
        <w:t>包含人员工资及相关费用。</w:t>
      </w:r>
    </w:p>
    <w:p w14:paraId="232A3174" w14:textId="77777777" w:rsidR="004B723D" w:rsidRPr="00573524" w:rsidRDefault="00000000">
      <w:pPr>
        <w:pStyle w:val="1"/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三、案件核心结构</w:t>
      </w:r>
    </w:p>
    <w:p w14:paraId="24B7E6F7" w14:textId="77777777" w:rsidR="004B723D" w:rsidRPr="00573524" w:rsidRDefault="00000000">
      <w:pPr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本案采用“双线攻击结构”：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主线：节能费用→合同→授权→产权</w:t>
      </w:r>
      <w:r w:rsidRPr="00573524">
        <w:rPr>
          <w:rFonts w:ascii="宋体" w:eastAsia="宋体" w:hAnsi="宋体"/>
          <w:lang w:eastAsia="zh-CN"/>
        </w:rPr>
        <w:br/>
        <w:t>副线：人工费重复收取（独立成立）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两条路径分别对应“合同合法性审查”与“收费合理性审查”。</w:t>
      </w:r>
    </w:p>
    <w:p w14:paraId="3E245192" w14:textId="77777777" w:rsidR="004B723D" w:rsidRPr="00573524" w:rsidRDefault="00000000">
      <w:pPr>
        <w:pStyle w:val="1"/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lastRenderedPageBreak/>
        <w:t>四、庭审核心发问路径</w:t>
      </w:r>
    </w:p>
    <w:p w14:paraId="125A1E97" w14:textId="77777777" w:rsidR="004B723D" w:rsidRPr="00573524" w:rsidRDefault="00000000">
      <w:pPr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第一步：确认成本构成</w:t>
      </w:r>
      <w:r w:rsidRPr="00573524">
        <w:rPr>
          <w:rFonts w:ascii="宋体" w:eastAsia="宋体" w:hAnsi="宋体"/>
          <w:lang w:eastAsia="zh-CN"/>
        </w:rPr>
        <w:br/>
        <w:t>问题：热水费成本是否包含节能费用？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第二步：确认费用来源</w:t>
      </w:r>
      <w:r w:rsidRPr="00573524">
        <w:rPr>
          <w:rFonts w:ascii="宋体" w:eastAsia="宋体" w:hAnsi="宋体"/>
          <w:lang w:eastAsia="zh-CN"/>
        </w:rPr>
        <w:br/>
        <w:t>问题：节能费用是否来源于能源管理合同？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第三步：确认授权基础</w:t>
      </w:r>
      <w:r w:rsidRPr="00573524">
        <w:rPr>
          <w:rFonts w:ascii="宋体" w:eastAsia="宋体" w:hAnsi="宋体"/>
          <w:lang w:eastAsia="zh-CN"/>
        </w:rPr>
        <w:br/>
        <w:t>问题：该合同是否经过业主大会表决（《民法典》第278条）？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结论：若无授权，该费用不应计入业主成本。</w:t>
      </w:r>
    </w:p>
    <w:p w14:paraId="26544473" w14:textId="77777777" w:rsidR="004B723D" w:rsidRPr="00573524" w:rsidRDefault="00000000">
      <w:pPr>
        <w:pStyle w:val="1"/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五、法官打断时应对（法条支撑）</w:t>
      </w:r>
    </w:p>
    <w:p w14:paraId="09D2AF18" w14:textId="77777777" w:rsidR="004B723D" w:rsidRPr="00573524" w:rsidRDefault="00000000">
      <w:pPr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1. 产权问题回避：</w:t>
      </w:r>
      <w:r w:rsidRPr="00573524">
        <w:rPr>
          <w:rFonts w:ascii="宋体" w:eastAsia="宋体" w:hAnsi="宋体"/>
          <w:lang w:eastAsia="zh-CN"/>
        </w:rPr>
        <w:br/>
        <w:t>回应：依据《民法典》第282条，</w:t>
      </w:r>
      <w:proofErr w:type="gramStart"/>
      <w:r w:rsidRPr="00573524">
        <w:rPr>
          <w:rFonts w:ascii="宋体" w:eastAsia="宋体" w:hAnsi="宋体"/>
          <w:lang w:eastAsia="zh-CN"/>
        </w:rPr>
        <w:t>需判断</w:t>
      </w:r>
      <w:proofErr w:type="gramEnd"/>
      <w:r w:rsidRPr="00573524">
        <w:rPr>
          <w:rFonts w:ascii="宋体" w:eastAsia="宋体" w:hAnsi="宋体"/>
          <w:lang w:eastAsia="zh-CN"/>
        </w:rPr>
        <w:t>收益归属，前提是确认权利来源。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2. 仅谈金额：</w:t>
      </w:r>
      <w:r w:rsidRPr="00573524">
        <w:rPr>
          <w:rFonts w:ascii="宋体" w:eastAsia="宋体" w:hAnsi="宋体"/>
          <w:lang w:eastAsia="zh-CN"/>
        </w:rPr>
        <w:br/>
        <w:t>回应：金额计算需依据《物业服务收费管理办法》第11条确定合法成本。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3. 另案处理建议：</w:t>
      </w:r>
      <w:r w:rsidRPr="00573524">
        <w:rPr>
          <w:rFonts w:ascii="宋体" w:eastAsia="宋体" w:hAnsi="宋体"/>
          <w:lang w:eastAsia="zh-CN"/>
        </w:rPr>
        <w:br/>
        <w:t>回应：本案仅涉及成本合法性，不涉及合同效力确认。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4. 格式条款争议：</w:t>
      </w:r>
      <w:r w:rsidRPr="00573524">
        <w:rPr>
          <w:rFonts w:ascii="宋体" w:eastAsia="宋体" w:hAnsi="宋体"/>
          <w:lang w:eastAsia="zh-CN"/>
        </w:rPr>
        <w:br/>
        <w:t>引用《民法典》第498条，作不利解释。</w:t>
      </w:r>
    </w:p>
    <w:p w14:paraId="7293F1D9" w14:textId="77777777" w:rsidR="004B723D" w:rsidRPr="00573524" w:rsidRDefault="00000000">
      <w:pPr>
        <w:pStyle w:val="1"/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六、结论</w:t>
      </w:r>
    </w:p>
    <w:p w14:paraId="30B212A3" w14:textId="77777777" w:rsidR="004B723D" w:rsidRPr="00573524" w:rsidRDefault="00000000">
      <w:pPr>
        <w:rPr>
          <w:rFonts w:ascii="宋体" w:eastAsia="宋体" w:hAnsi="宋体"/>
          <w:lang w:eastAsia="zh-CN"/>
        </w:rPr>
      </w:pPr>
      <w:r w:rsidRPr="00573524">
        <w:rPr>
          <w:rFonts w:ascii="宋体" w:eastAsia="宋体" w:hAnsi="宋体"/>
          <w:lang w:eastAsia="zh-CN"/>
        </w:rPr>
        <w:t>本案关键在于：物业是否在缺乏合法授权的情况下，将不应由业主承担的费用纳入收费体系。</w:t>
      </w:r>
      <w:r w:rsidRPr="00573524">
        <w:rPr>
          <w:rFonts w:ascii="宋体" w:eastAsia="宋体" w:hAnsi="宋体"/>
          <w:lang w:eastAsia="zh-CN"/>
        </w:rPr>
        <w:br/>
      </w:r>
      <w:r w:rsidRPr="00573524">
        <w:rPr>
          <w:rFonts w:ascii="宋体" w:eastAsia="宋体" w:hAnsi="宋体"/>
          <w:lang w:eastAsia="zh-CN"/>
        </w:rPr>
        <w:br/>
        <w:t>庭审目标：</w:t>
      </w:r>
      <w:r w:rsidRPr="00573524">
        <w:rPr>
          <w:rFonts w:ascii="宋体" w:eastAsia="宋体" w:hAnsi="宋体"/>
          <w:lang w:eastAsia="zh-CN"/>
        </w:rPr>
        <w:br/>
        <w:t>推动法院在判决中至少触及收费合法性的前提问题，</w:t>
      </w:r>
      <w:proofErr w:type="gramStart"/>
      <w:r w:rsidRPr="00573524">
        <w:rPr>
          <w:rFonts w:ascii="宋体" w:eastAsia="宋体" w:hAnsi="宋体"/>
          <w:lang w:eastAsia="zh-CN"/>
        </w:rPr>
        <w:t>即权利</w:t>
      </w:r>
      <w:proofErr w:type="gramEnd"/>
      <w:r w:rsidRPr="00573524">
        <w:rPr>
          <w:rFonts w:ascii="宋体" w:eastAsia="宋体" w:hAnsi="宋体"/>
          <w:lang w:eastAsia="zh-CN"/>
        </w:rPr>
        <w:t>来源与授权基础。</w:t>
      </w:r>
    </w:p>
    <w:sectPr w:rsidR="004B723D" w:rsidRPr="005735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184989">
    <w:abstractNumId w:val="8"/>
  </w:num>
  <w:num w:numId="2" w16cid:durableId="1524171229">
    <w:abstractNumId w:val="6"/>
  </w:num>
  <w:num w:numId="3" w16cid:durableId="850216125">
    <w:abstractNumId w:val="5"/>
  </w:num>
  <w:num w:numId="4" w16cid:durableId="1997876968">
    <w:abstractNumId w:val="4"/>
  </w:num>
  <w:num w:numId="5" w16cid:durableId="845830554">
    <w:abstractNumId w:val="7"/>
  </w:num>
  <w:num w:numId="6" w16cid:durableId="1492869986">
    <w:abstractNumId w:val="3"/>
  </w:num>
  <w:num w:numId="7" w16cid:durableId="1730687100">
    <w:abstractNumId w:val="2"/>
  </w:num>
  <w:num w:numId="8" w16cid:durableId="429663331">
    <w:abstractNumId w:val="1"/>
  </w:num>
  <w:num w:numId="9" w16cid:durableId="1997103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C0B"/>
    <w:rsid w:val="004B723D"/>
    <w:rsid w:val="00573524"/>
    <w:rsid w:val="00AA1D8D"/>
    <w:rsid w:val="00B1723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E96B0"/>
  <w14:defaultImageDpi w14:val="300"/>
  <w15:docId w15:val="{9935D085-83FB-4542-9969-1C8D4BE8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482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小妍 刘</cp:lastModifiedBy>
  <cp:revision>3</cp:revision>
  <dcterms:created xsi:type="dcterms:W3CDTF">2013-12-23T23:15:00Z</dcterms:created>
  <dcterms:modified xsi:type="dcterms:W3CDTF">2026-04-11T10:44:00Z</dcterms:modified>
  <cp:category/>
</cp:coreProperties>
</file>