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rPr>
          <w:b/>
        </w:rPr>
        <w:t>PF RDE</w:t>
        <w:br/>
        <w:t>Dossier d'architecture détaillée</w:t>
      </w:r>
    </w:p>
    <w:p>
      <w:pPr>
        <w:pStyle w:val="Subtitle"/>
      </w:pPr>
      <w:r>
        <w:t>Portail SIG, catalogue de données et exigences d'interopérabilité pour les autres lots</w:t>
      </w:r>
    </w:p>
    <w:tbl>
      <w:tblPr>
        <w:tblStyle w:val="TableGrid"/>
        <w:tblW w:type="dxa" w:w="9360"/>
        <w:jc w:val="left"/>
        <w:tblLayout w:type="fixed"/>
        <w:tblLook w:firstColumn="1" w:firstRow="1" w:lastColumn="0" w:lastRow="0" w:noHBand="0" w:noVBand="1" w:val="04A0"/>
        <w:tblInd w:w="0" w:type="dxa"/>
      </w:tblPr>
      <w:tblGrid>
        <w:gridCol w:w="2600"/>
        <w:gridCol w:w="6760"/>
      </w:tblGrid>
      <w:tr>
        <w:trPr>
          <w:cantSplit/>
          <w:tblHeader w:val="true"/>
        </w:trPr>
        <w:tc>
          <w:tcPr>
            <w:tcW w:type="dxa" w:w="2600"/>
            <w:vAlign w:val="center"/>
            <w:shd w:fill="EEF6FA"/>
            <w:tcMar>
              <w:top w:w="90" w:type="dxa"/>
              <w:bottom w:w="90" w:type="dxa"/>
              <w:left w:w="120" w:type="dxa"/>
              <w:right w:w="120" w:type="dxa"/>
            </w:tcMar>
          </w:tcPr>
          <w:p>
            <w:pPr>
              <w:spacing w:after="40" w:line="250" w:lineRule="auto"/>
              <w:jc w:val="left"/>
            </w:pPr>
            <w:r>
              <w:rPr>
                <w:rFonts w:ascii="Arial" w:hAnsi="Arial"/>
                <w:b/>
                <w:color w:val="0E5AA7"/>
                <w:sz w:val="18"/>
              </w:rPr>
            </w:r>
            <w:r>
              <w:rPr>
                <w:rFonts w:ascii="Arial" w:hAnsi="Arial"/>
                <w:b/>
                <w:color w:val="0E5AA7"/>
                <w:sz w:val="18"/>
              </w:rPr>
              <w:t>Objet</w:t>
            </w:r>
          </w:p>
        </w:tc>
        <w:tc>
          <w:tcPr>
            <w:tcW w:type="dxa" w:w="67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Décrire le fonctionnement de la plateforme PF RDE et cadrer les exigences que les autres lots doivent respecter pour s'y intégrer.</w:t>
            </w:r>
          </w:p>
        </w:tc>
      </w:tr>
      <w:tr>
        <w:trPr>
          <w:cantSplit/>
        </w:trPr>
        <w:tc>
          <w:tcPr>
            <w:tcW w:type="dxa" w:w="2600"/>
            <w:vAlign w:val="center"/>
            <w:shd w:fill="EEF6FA"/>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color w:val="1F2933"/>
                <w:sz w:val="18"/>
              </w:rPr>
              <w:t>Base analysée</w:t>
            </w:r>
          </w:p>
        </w:tc>
        <w:tc>
          <w:tcPr>
            <w:tcW w:type="dxa" w:w="6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Dépôt Symfony /Users/florestanrouet/myweb/pf-rde, état local du 25/05/2026.</w:t>
            </w:r>
          </w:p>
        </w:tc>
      </w:tr>
      <w:tr>
        <w:trPr>
          <w:cantSplit/>
        </w:trPr>
        <w:tc>
          <w:tcPr>
            <w:tcW w:type="dxa" w:w="2600"/>
            <w:vAlign w:val="center"/>
            <w:shd w:fill="EEF6FA"/>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color w:val="1F2933"/>
                <w:sz w:val="18"/>
              </w:rPr>
              <w:t>Périmètre</w:t>
            </w:r>
          </w:p>
        </w:tc>
        <w:tc>
          <w:tcPr>
            <w:tcW w:type="dxa" w:w="6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Portail public, catalogue de sources, cartothèque, cartes interactives, extranet, espace agents, back-office, API et contrats de données.</w:t>
            </w:r>
          </w:p>
        </w:tc>
      </w:tr>
      <w:tr>
        <w:trPr>
          <w:cantSplit/>
        </w:trPr>
        <w:tc>
          <w:tcPr>
            <w:tcW w:type="dxa" w:w="2600"/>
            <w:vAlign w:val="center"/>
            <w:shd w:fill="EEF6FA"/>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color w:val="1F2933"/>
                <w:sz w:val="18"/>
              </w:rPr>
              <w:t>Technologies</w:t>
            </w:r>
          </w:p>
        </w:tc>
        <w:tc>
          <w:tcPr>
            <w:tcW w:type="dxa" w:w="6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PHP 8.2+, Symfony 7.4, Twig, Stimulus, Doctrine ORM, PostgreSQL 16/PostGIS, EasyAdmin, MapLibre local, PHPUnit.</w:t>
            </w:r>
          </w:p>
        </w:tc>
      </w:tr>
      <w:tr>
        <w:trPr>
          <w:cantSplit/>
        </w:trPr>
        <w:tc>
          <w:tcPr>
            <w:tcW w:type="dxa" w:w="2600"/>
            <w:vAlign w:val="center"/>
            <w:shd w:fill="EEF6FA"/>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color w:val="1F2933"/>
                <w:sz w:val="18"/>
              </w:rPr>
              <w:t>Destinataires</w:t>
            </w:r>
          </w:p>
        </w:tc>
        <w:tc>
          <w:tcPr>
            <w:tcW w:type="dxa" w:w="6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Lots producteurs de données, lots SIG, lots authentification/SSO, exploitation, intégration et recette.</w:t>
            </w:r>
          </w:p>
        </w:tc>
      </w:tr>
    </w:tbl>
    <w:p/>
    <w:tbl>
      <w:tblPr>
        <w:tblStyle w:val="TableGrid"/>
        <w:tblW w:type="dxa" w:w="9360"/>
        <w:jc w:val="left"/>
        <w:tblLayout w:type="fixed"/>
        <w:tblLook w:firstColumn="1" w:firstRow="1" w:lastColumn="0" w:lastRow="0" w:noHBand="0" w:noVBand="1" w:val="04A0"/>
        <w:tblInd w:w="0" w:type="dxa"/>
      </w:tblPr>
      <w:tblGrid>
        <w:gridCol w:w="9360"/>
      </w:tblGrid>
      <w:tr>
        <w:trPr>
          <w:cantSplit/>
          <w:tblHeader w:val="true"/>
        </w:trPr>
        <w:tc>
          <w:tcPr>
            <w:tcW w:type="dxa" w:w="9360"/>
            <w:shd w:fill="EEF6FA"/>
            <w:tcMar>
              <w:top w:w="90" w:type="dxa"/>
              <w:bottom w:w="90" w:type="dxa"/>
              <w:left w:w="120" w:type="dxa"/>
              <w:right w:w="120" w:type="dxa"/>
            </w:tcMar>
          </w:tcPr>
          <w:p>
            <w:pPr>
              <w:spacing w:after="40" w:line="250" w:lineRule="auto"/>
            </w:pPr>
            <w:r>
              <w:rPr>
                <w:rFonts w:ascii="Arial" w:hAnsi="Arial"/>
                <w:b/>
                <w:color w:val="0E5AA7"/>
                <w:sz w:val="18"/>
              </w:rPr>
            </w:r>
            <w:r>
              <w:rPr>
                <w:rFonts w:ascii="Arial" w:hAnsi="Arial"/>
                <w:b/>
                <w:color w:val="0E5AA7"/>
                <w:sz w:val="18"/>
              </w:rPr>
              <w:t>Lecture rapide</w:t>
            </w:r>
          </w:p>
          <w:p>
            <w:pPr>
              <w:spacing w:line="250" w:lineRule="auto" w:after="40"/>
            </w:pPr>
            <w:r>
              <w:rPr>
                <w:rFonts w:ascii="Arial" w:hAnsi="Arial"/>
                <w:b/>
                <w:color w:val="0E5AA7"/>
                <w:sz w:val="18"/>
              </w:rPr>
              <w:t>La PF RDE est le point d'entrée applicatif et éditorial. Les autres lots doivent fournir des données publiables, versionnées, documentées, accessibles selon les scopes public/externe/interne, et consommables via fichiers normalisés ou services WMS/WFS/GeoJSON. Les exigences concrètes sont regroupées dans les chapitres 7 et 14.</w:t>
            </w:r>
          </w:p>
        </w:tc>
      </w:tr>
    </w:tbl>
    <w:p/>
    <w:p>
      <w:pPr>
        <w:pStyle w:val="Heading1"/>
        <w:keepNext/>
      </w:pPr>
      <w:r>
        <w:t>1. Synthèse Exécutive</w:t>
      </w:r>
    </w:p>
    <w:p>
      <w:pPr>
        <w:spacing w:after="120" w:line="259" w:lineRule="auto"/>
      </w:pPr>
      <w:r>
        <w:rPr>
          <w:rFonts w:ascii="Arial" w:hAnsi="Arial"/>
          <w:color w:val="1F2933"/>
          <w:sz w:val="21"/>
        </w:rPr>
        <w:t>La PF RDE est une plateforme Symfony de diffusion et de consultation des ressources cartographiques et documentaires liées au réseau routier. Elle expose un portail public, un catalogue de sources de données, des fiches cartothèque, des cartes interactives, un extranet pour comptes externes et agents, ainsi qu'un back-office d'administration.</w:t>
      </w:r>
    </w:p>
    <w:p>
      <w:pPr>
        <w:spacing w:after="120" w:line="259" w:lineRule="auto"/>
      </w:pPr>
      <w:r>
        <w:rPr>
          <w:rFonts w:ascii="Arial" w:hAnsi="Arial"/>
          <w:color w:val="1F2933"/>
          <w:sz w:val="21"/>
        </w:rPr>
        <w:t>L'architecture est volontairement modulaire. Les classes sont réparties en Domain, Application, Infrastructure, UI et Security. Cette organisation doit être conservée dans les évolutions : les règles métier restent dans le domaine, les cas d'usage dans Application, les connecteurs techniques dans Infrastructure et les contrôleurs/templates/API dans UI.</w:t>
      </w:r>
    </w:p>
    <w:p>
      <w:pPr>
        <w:spacing w:after="120" w:line="259" w:lineRule="auto"/>
      </w:pPr>
      <w:r>
        <w:rPr>
          <w:rFonts w:ascii="Arial" w:hAnsi="Arial"/>
          <w:color w:val="1F2933"/>
          <w:sz w:val="21"/>
        </w:rPr>
        <w:t>Le principe d'intégration attendu pour les autres lots est simple : livrer des ressources prêtes à être référencées par la PF RDE, avec un contrat de métadonnées stable, un format d'échange explicite, un niveau de visibilité, une licence, un producteur identifié, des URL non locales pour les ressources publiques et une stratégie de mise à jour.</w:t>
      </w:r>
    </w:p>
    <w:p>
      <w:pPr>
        <w:pStyle w:val="ListBullet"/>
        <w:spacing w:after="100"/>
        <w:ind w:left="720" w:hanging="360"/>
      </w:pPr>
      <w:r>
        <w:rPr>
          <w:rFonts w:ascii="Arial" w:hAnsi="Arial"/>
          <w:color w:val="1F2933"/>
          <w:sz w:val="21"/>
        </w:rPr>
        <w:t>Point d'entrée utilisateurs : pages publiques, catalogue /donnees-cartes, fiches source, cartothèque, cartes interactives et actualités.</w:t>
      </w:r>
    </w:p>
    <w:p>
      <w:pPr>
        <w:pStyle w:val="ListBullet"/>
        <w:spacing w:after="100"/>
        <w:ind w:left="720" w:hanging="360"/>
      </w:pPr>
      <w:r>
        <w:rPr>
          <w:rFonts w:ascii="Arial" w:hAnsi="Arial"/>
          <w:color w:val="1F2933"/>
          <w:sz w:val="21"/>
        </w:rPr>
        <w:t>Point d'entrée agents : /connexion puis extranet /extranet et demandes internes /agents/demandes/nouvelle.</w:t>
      </w:r>
    </w:p>
    <w:p>
      <w:pPr>
        <w:pStyle w:val="ListBullet"/>
        <w:spacing w:after="100"/>
        <w:ind w:left="720" w:hanging="360"/>
      </w:pPr>
      <w:r>
        <w:rPr>
          <w:rFonts w:ascii="Arial" w:hAnsi="Arial"/>
          <w:color w:val="1F2933"/>
          <w:sz w:val="21"/>
        </w:rPr>
        <w:t>Point d'entrée administrateurs : /admin via EasyAdmin, avec gestion des contenus, sources de données, catégories, thèmes, utilisateurs et demandes.</w:t>
      </w:r>
    </w:p>
    <w:p>
      <w:pPr>
        <w:pStyle w:val="ListBullet"/>
        <w:spacing w:after="100"/>
        <w:ind w:left="720" w:hanging="360"/>
      </w:pPr>
      <w:r>
        <w:rPr>
          <w:rFonts w:ascii="Arial" w:hAnsi="Arial"/>
          <w:color w:val="1F2933"/>
          <w:sz w:val="21"/>
        </w:rPr>
        <w:t>Point d'entrée machine : API JSON /api/catalog, /api/static-maps, /api/interactive-maps, /api/sig/health et /api/admin/dashboard/metrics.</w:t>
      </w:r>
    </w:p>
    <w:p>
      <w:pPr>
        <w:pStyle w:val="Heading1"/>
        <w:keepNext/>
      </w:pPr>
      <w:r>
        <w:t>2. Objectifs Et Périmètre</w:t>
      </w:r>
    </w:p>
    <w:p>
      <w:pPr>
        <w:pStyle w:val="Heading2"/>
        <w:keepNext/>
      </w:pPr>
      <w:r>
        <w:t>2.1 Objectifs de la plateforme</w:t>
      </w:r>
    </w:p>
    <w:p>
      <w:pPr>
        <w:pStyle w:val="ListBullet"/>
        <w:spacing w:after="100"/>
        <w:ind w:left="720" w:hanging="360"/>
      </w:pPr>
      <w:r>
        <w:rPr>
          <w:rFonts w:ascii="Arial" w:hAnsi="Arial"/>
          <w:color w:val="1F2933"/>
          <w:sz w:val="21"/>
        </w:rPr>
        <w:t>Centraliser les ressources de référence : fichiers, cartes statiques, services SIG et cartographies interactives.</w:t>
      </w:r>
    </w:p>
    <w:p>
      <w:pPr>
        <w:pStyle w:val="ListBullet"/>
        <w:spacing w:after="100"/>
        <w:ind w:left="720" w:hanging="360"/>
      </w:pPr>
      <w:r>
        <w:rPr>
          <w:rFonts w:ascii="Arial" w:hAnsi="Arial"/>
          <w:color w:val="1F2933"/>
          <w:sz w:val="21"/>
        </w:rPr>
        <w:t>Rendre les données consultables selon le profil : public, externe enregistré, agent, manager, administrateur.</w:t>
      </w:r>
    </w:p>
    <w:p>
      <w:pPr>
        <w:pStyle w:val="ListBullet"/>
        <w:spacing w:after="100"/>
        <w:ind w:left="720" w:hanging="360"/>
      </w:pPr>
      <w:r>
        <w:rPr>
          <w:rFonts w:ascii="Arial" w:hAnsi="Arial"/>
          <w:color w:val="1F2933"/>
          <w:sz w:val="21"/>
        </w:rPr>
        <w:t>Permettre une administration éditoriale sans redéploiement pour les pages, actualités, homepage, catégories et sources.</w:t>
      </w:r>
    </w:p>
    <w:p>
      <w:pPr>
        <w:pStyle w:val="ListBullet"/>
        <w:spacing w:after="100"/>
        <w:ind w:left="720" w:hanging="360"/>
      </w:pPr>
      <w:r>
        <w:rPr>
          <w:rFonts w:ascii="Arial" w:hAnsi="Arial"/>
          <w:color w:val="1F2933"/>
          <w:sz w:val="21"/>
        </w:rPr>
        <w:t>Préparer l'interopérabilité avec les lots producteurs de services SIG par une abstraction MapServiceProviderInterface.</w:t>
      </w:r>
    </w:p>
    <w:p>
      <w:pPr>
        <w:pStyle w:val="ListBullet"/>
        <w:spacing w:after="100"/>
        <w:ind w:left="720" w:hanging="360"/>
      </w:pPr>
      <w:r>
        <w:rPr>
          <w:rFonts w:ascii="Arial" w:hAnsi="Arial"/>
          <w:color w:val="1F2933"/>
          <w:sz w:val="21"/>
        </w:rPr>
        <w:t>Offrir un mode dégradé lorsque les endpoints SIG ne répondent pas, tout en conservant l'accès aux fiches et informations déjà publiées.</w:t>
      </w:r>
    </w:p>
    <w:p>
      <w:pPr>
        <w:pStyle w:val="Heading2"/>
        <w:keepNext/>
      </w:pPr>
      <w:r>
        <w:t>2.2 Hors périmètre actuel</w:t>
      </w:r>
    </w:p>
    <w:p>
      <w:pPr>
        <w:pStyle w:val="ListBullet"/>
        <w:spacing w:after="100"/>
        <w:ind w:left="720" w:hanging="360"/>
      </w:pPr>
      <w:r>
        <w:rPr>
          <w:rFonts w:ascii="Arial" w:hAnsi="Arial"/>
          <w:color w:val="1F2933"/>
          <w:sz w:val="21"/>
        </w:rPr>
        <w:t>La PF RDE ne remplace pas un entrepôt SIG de production : elle référence et consomme les données fournies par les lots source.</w:t>
      </w:r>
    </w:p>
    <w:p>
      <w:pPr>
        <w:pStyle w:val="ListBullet"/>
        <w:spacing w:after="100"/>
        <w:ind w:left="720" w:hanging="360"/>
      </w:pPr>
      <w:r>
        <w:rPr>
          <w:rFonts w:ascii="Arial" w:hAnsi="Arial"/>
          <w:color w:val="1F2933"/>
          <w:sz w:val="21"/>
        </w:rPr>
        <w:t>La PF RDE ne porte pas encore un moteur ETL complet ; les lots doivent fournir des fichiers et services déjà validés.</w:t>
      </w:r>
    </w:p>
    <w:p>
      <w:pPr>
        <w:pStyle w:val="ListBullet"/>
        <w:spacing w:after="100"/>
        <w:ind w:left="720" w:hanging="360"/>
      </w:pPr>
      <w:r>
        <w:rPr>
          <w:rFonts w:ascii="Arial" w:hAnsi="Arial"/>
          <w:color w:val="1F2933"/>
          <w:sz w:val="21"/>
        </w:rPr>
        <w:t>Les services WMS/WFS réels sont découplés derrière un provider mock dans l'état local ; l'implémentation finale doit remplacer l'adaptateur sans modifier les contrôleurs.</w:t>
      </w:r>
    </w:p>
    <w:p>
      <w:pPr>
        <w:pStyle w:val="ListBullet"/>
        <w:spacing w:after="100"/>
        <w:ind w:left="720" w:hanging="360"/>
      </w:pPr>
      <w:r>
        <w:rPr>
          <w:rFonts w:ascii="Arial" w:hAnsi="Arial"/>
          <w:color w:val="1F2933"/>
          <w:sz w:val="21"/>
        </w:rPr>
        <w:t>La validation métier fine des géométries et des attributs n'est pas exhaustive dans le code actuel ; elle doit être organisée en amont ou ajoutée dans les futurs connecteurs.</w:t>
      </w:r>
    </w:p>
    <w:p>
      <w:pPr>
        <w:pStyle w:val="Heading1"/>
        <w:keepNext/>
      </w:pPr>
      <w:r>
        <w:t>3. Vue Fonctionnelle</w:t>
      </w:r>
    </w:p>
    <w:p>
      <w:pPr>
        <w:pStyle w:val="Heading2"/>
        <w:keepNext/>
      </w:pPr>
      <w:r>
        <w:t>3.1 Parcours utilisateurs</w:t>
      </w:r>
    </w:p>
    <w:tbl>
      <w:tblPr>
        <w:tblStyle w:val="TableGrid"/>
        <w:tblW w:type="dxa" w:w="9360"/>
        <w:jc w:val="left"/>
        <w:tblLayout w:type="fixed"/>
        <w:tblLook w:firstColumn="1" w:firstRow="1" w:lastColumn="0" w:lastRow="0" w:noHBand="0" w:noVBand="1" w:val="04A0"/>
        <w:tblInd w:w="0" w:type="dxa"/>
      </w:tblPr>
      <w:tblGrid>
        <w:gridCol w:w="1600"/>
        <w:gridCol w:w="3600"/>
        <w:gridCol w:w="4160"/>
      </w:tblGrid>
      <w:tr>
        <w:trPr>
          <w:cantSplit/>
          <w:tblHeader w:val="true"/>
        </w:trPr>
        <w:tc>
          <w:tcPr>
            <w:tcW w:type="dxa" w:w="16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Parcours</w:t>
            </w:r>
          </w:p>
        </w:tc>
        <w:tc>
          <w:tcPr>
            <w:tcW w:type="dxa" w:w="36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Fonctionnement</w:t>
            </w:r>
          </w:p>
        </w:tc>
        <w:tc>
          <w:tcPr>
            <w:tcW w:type="dxa" w:w="41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Exigence pour les autres lots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Portail public</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Accueil éditorial, actualités, pages institutionnelles, recherche dans le catalogue.</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Fournir titres, résumés, images et descriptions compréhensibles par un utilisateur non technique.</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Catalogue des données</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Recherche, filtres par type/thème/catégorie, compteurs, résultats AJAX et fallback serveur.</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Renseigner sourceType, thème, catégories, format, visibilité, publication et métadonnées.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Fiche source</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Affiche la description, le type, l'accès principal et le lien vers fichier, service ou carte liée.</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Garantir que l'URL ou le fichier référencé est disponible et non local pour les ressources publiques.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Cartothèque</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Fiche de carte statique avec assets PDF/PNG et jeux de données associés filtrés par visibilité.</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Fournir assets lisibles, datés, reliés à la carte, avec format et licence.</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Carte interactive</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Bootstrap JSON, couches, fond de carte, features, légende et feature-info.</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Fournir couches nommées, endpoint, serviceLayerName, style/filterConfig et contrat GeoJSON cohérent.</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Extranet</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Favoris, demandes de ressources externes et dashboard privé.</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Préciser quelles ressources sont visibles aux externes et comment les demandes doivent être traitées.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Espace agents</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Création de demandes de cartes/données avec pièce jointe éventuelle.</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Définir les catégories de demandes et les pièces justificatives requises.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Back-office</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CRUD EasyAdmin sur contenus, sources, utilisateurs, catégories et demandes.</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Respecter les champs obligatoires pour que les administrateurs puissent publier sans correction technique.</w:t>
            </w:r>
          </w:p>
        </w:tc>
      </w:tr>
    </w:tbl>
    <w:p/>
    <w:p>
      <w:pPr>
        <w:pStyle w:val="Heading2"/>
        <w:keepNext/>
      </w:pPr>
      <w:r>
        <w:t>3.2 Types de ressources publiées</w:t>
      </w:r>
    </w:p>
    <w:tbl>
      <w:tblPr>
        <w:tblStyle w:val="TableGrid"/>
        <w:tblW w:type="dxa" w:w="9360"/>
        <w:jc w:val="left"/>
        <w:tblLayout w:type="fixed"/>
        <w:tblLook w:firstColumn="1" w:firstRow="1" w:lastColumn="0" w:lastRow="0" w:noHBand="0" w:noVBand="1" w:val="04A0"/>
        <w:tblInd w:w="0" w:type="dxa"/>
      </w:tblPr>
      <w:tblGrid>
        <w:gridCol w:w="1700"/>
        <w:gridCol w:w="1800"/>
        <w:gridCol w:w="3300"/>
        <w:gridCol w:w="2560"/>
      </w:tblGrid>
      <w:tr>
        <w:trPr>
          <w:cantSplit/>
          <w:tblHeader w:val="true"/>
        </w:trPr>
        <w:tc>
          <w:tcPr>
            <w:tcW w:type="dxa" w:w="17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Type technique</w:t>
            </w:r>
          </w:p>
        </w:tc>
        <w:tc>
          <w:tcPr>
            <w:tcW w:type="dxa" w:w="18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Libellé</w:t>
            </w:r>
          </w:p>
        </w:tc>
        <w:tc>
          <w:tcPr>
            <w:tcW w:type="dxa" w:w="33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Usage attendu</w:t>
            </w:r>
          </w:p>
        </w:tc>
        <w:tc>
          <w:tcPr>
            <w:tcW w:type="dxa" w:w="25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Champ d'accès requis</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cartography_link</w:t>
            </w:r>
          </w:p>
        </w:tc>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Lien vers cartographie</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Lien externe ou carte interactive interne.</w:t>
            </w:r>
          </w:p>
        </w:tc>
        <w:tc>
          <w:tcPr>
            <w:tcW w:type="dxa" w:w="25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sourceUrl ou linkedInteractiveMap obligatoire.</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wms</w:t>
            </w:r>
          </w:p>
        </w:tc>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WMS</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Service cartographique de rendu.</w:t>
            </w:r>
          </w:p>
        </w:tc>
        <w:tc>
          <w:tcPr>
            <w:tcW w:type="dxa" w:w="25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sourceUrl obligatoire ou endpoint référencé ; service public non-local si visibilité public.</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wfs</w:t>
            </w:r>
          </w:p>
        </w:tc>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WFS</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Service de features interrogeables.</w:t>
            </w:r>
          </w:p>
        </w:tc>
        <w:tc>
          <w:tcPr>
            <w:tcW w:type="dxa" w:w="25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sourceUrl obligatoire ou endpoint référencé ; couche et schéma attributaire documentés.</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data_file</w:t>
            </w:r>
          </w:p>
        </w:tc>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Fichier de données</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Téléchargement de fichier tabulaire, géographique ou documentaire.</w:t>
            </w:r>
          </w:p>
        </w:tc>
        <w:tc>
          <w:tcPr>
            <w:tcW w:type="dxa" w:w="25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filePath obligatoire dans la validation applicative.</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static_map</w:t>
            </w:r>
          </w:p>
        </w:tc>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Carte statique</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Fiche cartothèque ou ressource image/PDF.</w:t>
            </w:r>
          </w:p>
        </w:tc>
        <w:tc>
          <w:tcPr>
            <w:tcW w:type="dxa" w:w="25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filePath ou linkedStaticMap selon le mode de publication.</w:t>
            </w:r>
          </w:p>
        </w:tc>
      </w:tr>
    </w:tbl>
    <w:p/>
    <w:p>
      <w:pPr>
        <w:pStyle w:val="Heading1"/>
        <w:keepNext/>
      </w:pPr>
      <w:r>
        <w:t>4. Architecture Applicative</w:t>
      </w:r>
    </w:p>
    <w:p>
      <w:pPr>
        <w:spacing w:after="120" w:line="259" w:lineRule="auto"/>
      </w:pPr>
      <w:r>
        <w:rPr>
          <w:rFonts w:ascii="Arial" w:hAnsi="Arial"/>
          <w:color w:val="1F2933"/>
          <w:sz w:val="21"/>
        </w:rPr>
        <w:t>Le dépôt suit un découpage clair par responsabilité. Les classes Domain portent les entités Doctrine et les constantes métier. Les services Application orchestrent les cas d'usage. Infrastructure regroupe repositories, providers, audit et sécurité technique. UI expose les contrôleurs, formulaires, API et templates.</w:t>
      </w:r>
    </w:p>
    <w:tbl>
      <w:tblPr>
        <w:tblStyle w:val="TableGrid"/>
        <w:tblW w:type="dxa" w:w="9360"/>
        <w:jc w:val="left"/>
        <w:tblLayout w:type="fixed"/>
        <w:tblLook w:firstColumn="1" w:firstRow="1" w:lastColumn="0" w:lastRow="0" w:noHBand="0" w:noVBand="1" w:val="04A0"/>
        <w:tblInd w:w="0" w:type="dxa"/>
      </w:tblPr>
      <w:tblGrid>
        <w:gridCol w:w="1700"/>
        <w:gridCol w:w="3900"/>
        <w:gridCol w:w="3760"/>
      </w:tblGrid>
      <w:tr>
        <w:trPr>
          <w:cantSplit/>
          <w:tblHeader w:val="true"/>
        </w:trPr>
        <w:tc>
          <w:tcPr>
            <w:tcW w:type="dxa" w:w="17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Couche</w:t>
            </w:r>
          </w:p>
        </w:tc>
        <w:tc>
          <w:tcPr>
            <w:tcW w:type="dxa" w:w="39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Contenu actuel</w:t>
            </w:r>
          </w:p>
        </w:tc>
        <w:tc>
          <w:tcPr>
            <w:tcW w:type="dxa" w:w="37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Règle d'évolution</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Domain</w:t>
            </w:r>
          </w:p>
        </w:tc>
        <w:tc>
          <w:tcPr>
            <w:tcW w:type="dxa" w:w="3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Entités Access, Agent, Analytics, Cartography, Content, Taxonomy et traits communs.</w:t>
            </w:r>
          </w:p>
        </w:tc>
        <w:tc>
          <w:tcPr>
            <w:tcW w:type="dxa" w:w="3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Ajouter les invariants métier et relations dans Domain, sans dépendre des contrôleurs.</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Application</w:t>
            </w:r>
          </w:p>
        </w:tc>
        <w:tc>
          <w:tcPr>
            <w:tcW w:type="dxa" w:w="3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Services DataCatalogService, StaticMapCatalogService, InteractiveMapMockDataService, SSO, visibilité et SIRENE.</w:t>
            </w:r>
          </w:p>
        </w:tc>
        <w:tc>
          <w:tcPr>
            <w:tcW w:type="dxa" w:w="3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Ajouter les cas d'usage transverses et contrats DTO. Pas de rendu HTML dans cette couche.</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Infrastructure</w:t>
            </w:r>
          </w:p>
        </w:tc>
        <w:tc>
          <w:tcPr>
            <w:tcW w:type="dxa" w:w="3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Repositories Doctrine, provider SIG mock, audit logger, headers sécurité.</w:t>
            </w:r>
          </w:p>
        </w:tc>
        <w:tc>
          <w:tcPr>
            <w:tcW w:type="dxa" w:w="3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Ajouter les connecteurs réels ici : WMS/WFS, stockage, API tierces, supervision.</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UI</w:t>
            </w:r>
          </w:p>
        </w:tc>
        <w:tc>
          <w:tcPr>
            <w:tcW w:type="dxa" w:w="3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Contrôleurs web, API JSON, formulaires Symfony, EasyAdmin et templates Twig.</w:t>
            </w:r>
          </w:p>
        </w:tc>
        <w:tc>
          <w:tcPr>
            <w:tcW w:type="dxa" w:w="3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Garder UI mince : validation d'entrée, orchestration de service, réponse HTTP.</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Security</w:t>
            </w:r>
          </w:p>
        </w:tc>
        <w:tc>
          <w:tcPr>
            <w:tcW w:type="dxa" w:w="3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LoginFormAuthenticator et configuration RBAC Symfony.</w:t>
            </w:r>
          </w:p>
        </w:tc>
        <w:tc>
          <w:tcPr>
            <w:tcW w:type="dxa" w:w="3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Conserver l'authentification centralisée et éviter les contrôles de rôle dispersés.</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Assets/Templates</w:t>
            </w:r>
          </w:p>
        </w:tc>
        <w:tc>
          <w:tcPr>
            <w:tcW w:type="dxa" w:w="3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Twig serveur, Stimulus controllers, MapLibre embarqué, CSS de thème.</w:t>
            </w:r>
          </w:p>
        </w:tc>
        <w:tc>
          <w:tcPr>
            <w:tcW w:type="dxa" w:w="3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Favoriser l'enrichissement progressif ; les pages doivent rester utilisables sans SPA complète.</w:t>
            </w:r>
          </w:p>
        </w:tc>
      </w:tr>
    </w:tbl>
    <w:p/>
    <w:tbl>
      <w:tblPr>
        <w:tblStyle w:val="TableGrid"/>
        <w:tblW w:type="dxa" w:w="9360"/>
        <w:jc w:val="left"/>
        <w:tblLayout w:type="fixed"/>
        <w:tblLook w:firstColumn="1" w:firstRow="1" w:lastColumn="0" w:lastRow="0" w:noHBand="0" w:noVBand="1" w:val="04A0"/>
        <w:tblInd w:w="0" w:type="dxa"/>
      </w:tblPr>
      <w:tblGrid>
        <w:gridCol w:w="9360"/>
      </w:tblGrid>
      <w:tr>
        <w:trPr>
          <w:cantSplit/>
          <w:tblHeader w:val="true"/>
        </w:trPr>
        <w:tc>
          <w:tcPr>
            <w:tcW w:type="dxa" w:w="9360"/>
            <w:shd w:fill="F4F6F8"/>
            <w:tcMar>
              <w:top w:w="90" w:type="dxa"/>
              <w:bottom w:w="90" w:type="dxa"/>
              <w:left w:w="120" w:type="dxa"/>
              <w:right w:w="120" w:type="dxa"/>
            </w:tcMar>
          </w:tcPr>
          <w:p>
            <w:pPr>
              <w:spacing w:after="40" w:line="250" w:lineRule="auto"/>
            </w:pPr>
            <w:r>
              <w:rPr>
                <w:rFonts w:ascii="Arial" w:hAnsi="Arial"/>
                <w:b/>
                <w:color w:val="0E5AA7"/>
                <w:sz w:val="18"/>
              </w:rPr>
            </w:r>
            <w:r>
              <w:rPr>
                <w:rFonts w:ascii="Arial" w:hAnsi="Arial"/>
                <w:b/>
                <w:color w:val="0E5AA7"/>
                <w:sz w:val="18"/>
              </w:rPr>
              <w:t>Décision d'architecture</w:t>
            </w:r>
          </w:p>
          <w:p>
            <w:pPr>
              <w:spacing w:line="250" w:lineRule="auto" w:after="40"/>
            </w:pPr>
            <w:r>
              <w:rPr>
                <w:rFonts w:ascii="Arial" w:hAnsi="Arial"/>
                <w:b/>
                <w:color w:val="0E5AA7"/>
                <w:sz w:val="18"/>
              </w:rPr>
              <w:t>La PF RDE n'est pas une SPA. Le rendu serveur Twig reste la base, avec Stimulus/fetch pour les interactions ciblées. Les lots qui livrent des composants front doivent donc produire des endpoints et fragments compatibles avec ce modèle progressif.</w:t>
            </w:r>
          </w:p>
        </w:tc>
      </w:tr>
    </w:tbl>
    <w:p/>
    <w:p>
      <w:pPr>
        <w:pStyle w:val="Heading1"/>
        <w:keepNext/>
      </w:pPr>
      <w:r>
        <w:t>5. Architecture Technique</w:t>
      </w:r>
    </w:p>
    <w:p>
      <w:pPr>
        <w:pStyle w:val="Heading2"/>
        <w:keepNext/>
      </w:pPr>
      <w:r>
        <w:t>5.1 Stack</w:t>
      </w:r>
    </w:p>
    <w:tbl>
      <w:tblPr>
        <w:tblStyle w:val="TableGrid"/>
        <w:tblW w:type="dxa" w:w="9360"/>
        <w:jc w:val="left"/>
        <w:tblLayout w:type="fixed"/>
        <w:tblLook w:firstColumn="1" w:firstRow="1" w:lastColumn="0" w:lastRow="0" w:noHBand="0" w:noVBand="1" w:val="04A0"/>
        <w:tblInd w:w="0" w:type="dxa"/>
      </w:tblPr>
      <w:tblGrid>
        <w:gridCol w:w="1800"/>
        <w:gridCol w:w="2700"/>
        <w:gridCol w:w="4860"/>
      </w:tblGrid>
      <w:tr>
        <w:trPr>
          <w:cantSplit/>
          <w:tblHeader w:val="true"/>
        </w:trPr>
        <w:tc>
          <w:tcPr>
            <w:tcW w:type="dxa" w:w="18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Brique</w:t>
            </w:r>
          </w:p>
        </w:tc>
        <w:tc>
          <w:tcPr>
            <w:tcW w:type="dxa" w:w="27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Version / choix</w:t>
            </w:r>
          </w:p>
        </w:tc>
        <w:tc>
          <w:tcPr>
            <w:tcW w:type="dxa" w:w="48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Rôle</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Langage</w:t>
            </w:r>
          </w:p>
        </w:tc>
        <w:tc>
          <w:tcPr>
            <w:tcW w:type="dxa" w:w="2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PHP &gt;= 8.2</w:t>
            </w:r>
          </w:p>
        </w:tc>
        <w:tc>
          <w:tcPr>
            <w:tcW w:type="dxa" w:w="48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Runtime applicatif.</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Framework</w:t>
            </w:r>
          </w:p>
        </w:tc>
        <w:tc>
          <w:tcPr>
            <w:tcW w:type="dxa" w:w="2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Symfony 7.4</w:t>
            </w:r>
          </w:p>
        </w:tc>
        <w:tc>
          <w:tcPr>
            <w:tcW w:type="dxa" w:w="48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Routing, DI, sécurité, formulaires, console, Twig.</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Persistance</w:t>
            </w:r>
          </w:p>
        </w:tc>
        <w:tc>
          <w:tcPr>
            <w:tcW w:type="dxa" w:w="2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Doctrine ORM 3.x + migrations</w:t>
            </w:r>
          </w:p>
        </w:tc>
        <w:tc>
          <w:tcPr>
            <w:tcW w:type="dxa" w:w="48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Mapping entités, repositories et versionnement de schéma.</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Base</w:t>
            </w:r>
          </w:p>
        </w:tc>
        <w:tc>
          <w:tcPr>
            <w:tcW w:type="dxa" w:w="2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PostgreSQL 16 + PostGIS</w:t>
            </w:r>
          </w:p>
        </w:tc>
        <w:tc>
          <w:tcPr>
            <w:tcW w:type="dxa" w:w="48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Stockage relationnel et capacité géographique.</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Back-office</w:t>
            </w:r>
          </w:p>
        </w:tc>
        <w:tc>
          <w:tcPr>
            <w:tcW w:type="dxa" w:w="2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EasyAdmin 5</w:t>
            </w:r>
          </w:p>
        </w:tc>
        <w:tc>
          <w:tcPr>
            <w:tcW w:type="dxa" w:w="48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CRUD administrateur rapide et maintenable.</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Front</w:t>
            </w:r>
          </w:p>
        </w:tc>
        <w:tc>
          <w:tcPr>
            <w:tcW w:type="dxa" w:w="2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Twig, Asset Mapper, Stimulus, fetch</w:t>
            </w:r>
          </w:p>
        </w:tc>
        <w:tc>
          <w:tcPr>
            <w:tcW w:type="dxa" w:w="48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Rendu serveur avec interactions AJAX ciblées.</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Cartographie web</w:t>
            </w:r>
          </w:p>
        </w:tc>
        <w:tc>
          <w:tcPr>
            <w:tcW w:type="dxa" w:w="2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MapLibre GL JS embarqué en local</w:t>
            </w:r>
          </w:p>
        </w:tc>
        <w:tc>
          <w:tcPr>
            <w:tcW w:type="dxa" w:w="48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Affichage des cartes interactives et fond de carte.</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Tests</w:t>
            </w:r>
          </w:p>
        </w:tc>
        <w:tc>
          <w:tcPr>
            <w:tcW w:type="dxa" w:w="2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PHPUnit 11.5, BrowserKit, CssSelector</w:t>
            </w:r>
          </w:p>
        </w:tc>
        <w:tc>
          <w:tcPr>
            <w:tcW w:type="dxa" w:w="48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Tests unitaires et fonctionnels.</w:t>
            </w:r>
          </w:p>
        </w:tc>
      </w:tr>
    </w:tbl>
    <w:p/>
    <w:p>
      <w:pPr>
        <w:pStyle w:val="Heading2"/>
        <w:keepNext/>
      </w:pPr>
      <w:r>
        <w:t>5.2 Déploiement et runtime</w:t>
      </w:r>
    </w:p>
    <w:p>
      <w:pPr>
        <w:pStyle w:val="ListBullet"/>
        <w:spacing w:after="100"/>
        <w:ind w:left="720" w:hanging="360"/>
      </w:pPr>
      <w:r>
        <w:rPr>
          <w:rFonts w:ascii="Arial" w:hAnsi="Arial"/>
          <w:color w:val="1F2933"/>
          <w:sz w:val="21"/>
        </w:rPr>
        <w:t>La base PostgreSQL est décrite dans compose.yaml avec un volume database_data et un healthcheck pg_isready.</w:t>
      </w:r>
    </w:p>
    <w:p>
      <w:pPr>
        <w:pStyle w:val="ListBullet"/>
        <w:spacing w:after="100"/>
        <w:ind w:left="720" w:hanging="360"/>
      </w:pPr>
      <w:r>
        <w:rPr>
          <w:rFonts w:ascii="Arial" w:hAnsi="Arial"/>
          <w:color w:val="1F2933"/>
          <w:sz w:val="21"/>
        </w:rPr>
        <w:t>En local, compose.override.yaml expose PostgreSQL et ajoute Mailpit pour le mail de développement.</w:t>
      </w:r>
    </w:p>
    <w:p>
      <w:pPr>
        <w:pStyle w:val="ListBullet"/>
        <w:spacing w:after="100"/>
        <w:ind w:left="720" w:hanging="360"/>
      </w:pPr>
      <w:r>
        <w:rPr>
          <w:rFonts w:ascii="Arial" w:hAnsi="Arial"/>
          <w:color w:val="1F2933"/>
          <w:sz w:val="21"/>
        </w:rPr>
        <w:t>La variable DATABASE_URL pilote Doctrine ; la production doit utiliser un secret dédié et non la valeur locale !ChangeMe!.</w:t>
      </w:r>
    </w:p>
    <w:p>
      <w:pPr>
        <w:pStyle w:val="ListBullet"/>
        <w:spacing w:after="100"/>
        <w:ind w:left="720" w:hanging="360"/>
      </w:pPr>
      <w:r>
        <w:rPr>
          <w:rFonts w:ascii="Arial" w:hAnsi="Arial"/>
          <w:color w:val="1F2933"/>
          <w:sz w:val="21"/>
        </w:rPr>
        <w:t>Les assets MapLibre sont embarqués dans public/vendor/maplibre pour limiter les dépendances CDN et respecter la CSP.</w:t>
      </w:r>
    </w:p>
    <w:p>
      <w:pPr>
        <w:pStyle w:val="ListBullet"/>
        <w:spacing w:after="100"/>
        <w:ind w:left="720" w:hanging="360"/>
      </w:pPr>
      <w:r>
        <w:rPr>
          <w:rFonts w:ascii="Arial" w:hAnsi="Arial"/>
          <w:color w:val="1F2933"/>
          <w:sz w:val="21"/>
        </w:rPr>
        <w:t>Les fichiers publiables sont servis sous public/files, public/uploads ou public/uploads/data-sources, avec une route /files/{path} pour le téléchargement contrôlé.</w:t>
      </w:r>
    </w:p>
    <w:p>
      <w:pPr>
        <w:pStyle w:val="Heading1"/>
        <w:keepNext/>
      </w:pPr>
      <w:r>
        <w:t>6. Modèle De Données</w:t>
      </w:r>
    </w:p>
    <w:p>
      <w:pPr>
        <w:spacing w:after="120" w:line="259" w:lineRule="auto"/>
      </w:pPr>
      <w:r>
        <w:rPr>
          <w:rFonts w:ascii="Arial" w:hAnsi="Arial"/>
          <w:color w:val="1F2933"/>
          <w:sz w:val="21"/>
        </w:rPr>
        <w:t>Le modèle repose sur des agrégats principaux : accès/utilisateurs, contenus éditoriaux, cartographie, demandes agents, analytics et taxonomie. Toutes les entités structurantes disposent d'identifiants techniques et, pour beaucoup, d'un UUID, de dates de création/mise à jour et de champs de publication.</w:t>
      </w:r>
    </w:p>
    <w:tbl>
      <w:tblPr>
        <w:tblStyle w:val="TableGrid"/>
        <w:tblW w:type="dxa" w:w="9360"/>
        <w:jc w:val="left"/>
        <w:tblLayout w:type="fixed"/>
        <w:tblLook w:firstColumn="1" w:firstRow="1" w:lastColumn="0" w:lastRow="0" w:noHBand="0" w:noVBand="1" w:val="04A0"/>
        <w:tblInd w:w="0" w:type="dxa"/>
      </w:tblPr>
      <w:tblGrid>
        <w:gridCol w:w="1600"/>
        <w:gridCol w:w="3600"/>
        <w:gridCol w:w="4160"/>
      </w:tblGrid>
      <w:tr>
        <w:trPr>
          <w:cantSplit/>
          <w:tblHeader w:val="true"/>
        </w:trPr>
        <w:tc>
          <w:tcPr>
            <w:tcW w:type="dxa" w:w="16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Domaine</w:t>
            </w:r>
          </w:p>
        </w:tc>
        <w:tc>
          <w:tcPr>
            <w:tcW w:type="dxa" w:w="36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Tables / entités principales</w:t>
            </w:r>
          </w:p>
        </w:tc>
        <w:tc>
          <w:tcPr>
            <w:tcW w:type="dxa" w:w="41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Responsabilité</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Accès</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app_user, app_role, user_role, user_favorite, external_resource_request, audit_log</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Authentification, rôles, favoris, demandes externes et journalisation.</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Contenu</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page, news, quick_link, partner, homepage_content, homepage_section, contact_message</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Contenus éditoriaux et page d'accueil administrables.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Cartographie</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data_source, data_category, data_source_category, static_map, static_map_asset, dataset_resource, metadata_record, interactive_map, map_layer, map_service_endpoint</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Catalogue de sources, cartes statiques, ressources associées, cartes interactives et endpoints SIG.</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Agent</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agent_request_type, agent_request, agent_request_attachment</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Demandes internes, typologie de demande et pièces jointes.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Analytics</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dashboard_metric_snapshot</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Indicateurs horodatés du dashboard admin.</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Taxonomie</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taxonomy_term</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Thèmes cartothèque et taxonomies évolutives.</w:t>
            </w:r>
          </w:p>
        </w:tc>
      </w:tr>
    </w:tbl>
    <w:p/>
    <w:p>
      <w:pPr>
        <w:pStyle w:val="Heading2"/>
        <w:keepNext/>
      </w:pPr>
      <w:r>
        <w:t>6.1 Entités cartographiques structurantes</w:t>
      </w:r>
    </w:p>
    <w:tbl>
      <w:tblPr>
        <w:tblStyle w:val="TableGrid"/>
        <w:tblW w:type="dxa" w:w="9360"/>
        <w:jc w:val="left"/>
        <w:tblLayout w:type="fixed"/>
        <w:tblLook w:firstColumn="1" w:firstRow="1" w:lastColumn="0" w:lastRow="0" w:noHBand="0" w:noVBand="1" w:val="04A0"/>
        <w:tblInd w:w="0" w:type="dxa"/>
      </w:tblPr>
      <w:tblGrid>
        <w:gridCol w:w="1600"/>
        <w:gridCol w:w="3600"/>
        <w:gridCol w:w="4160"/>
      </w:tblGrid>
      <w:tr>
        <w:trPr>
          <w:cantSplit/>
          <w:tblHeader w:val="true"/>
        </w:trPr>
        <w:tc>
          <w:tcPr>
            <w:tcW w:type="dxa" w:w="16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Entité</w:t>
            </w:r>
          </w:p>
        </w:tc>
        <w:tc>
          <w:tcPr>
            <w:tcW w:type="dxa" w:w="36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Champs clés</w:t>
            </w:r>
          </w:p>
        </w:tc>
        <w:tc>
          <w:tcPr>
            <w:tcW w:type="dxa" w:w="41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Commentaires d'intégration</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DataSource</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slug, title, sourceType, summary, description, theme, keywords, sourceUrl, filePath, format, license, thumbnailPath, iconKey, visibilityScope, status, publishedAt</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Entrée centrale du catalogue. Les lots doivent livrer les valeurs nécessaires selon le type de source.</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DataCategory</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name, slug, description, iconKey, colorHex, featuredOnHomepage, position, status</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Permet les filtres et la mise en avant. Les catégories doivent rester stables.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StaticMap</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slug, title, summary, description, theme, documentDate, thumbnailPath, visibilityScope, metadataRecord, status</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Fiche de carte statique consultable avec assets et datasets associés.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StaticMapAsset</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label, assetType, filePath, mimeType, fileSize</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Fichiers PDF/PNG/JPG ou autres rendus liés à une carte statique.</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DatasetResource</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label, format, external, url, filePath, license, visibilityScope</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Données complémentaires d'une carte, filtrées selon le profil utilisateur.</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InteractiveMap</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slug, title, summary, defaultCenterLat, defaultCenterLng, defaultZoom, degradedModeMessage, visibilityScope</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Configuration de la carte web et de son mode dégradé.</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MapLayer</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name, label, serviceLayerName, layerType, renderOrder, visibleByDefault, styleConfig, filterConfig</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Contrat de couche. Le name doit correspondre aux identifiants consommés par l'API interactive.</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MapServiceEndpoint</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name, serviceType, baseUrl, authType, credentialsRef, enabled, timeoutMs, healthStatus</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Point de connexion vers les services SIG. Les credentials ne doivent pas être stockés en clair.</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MetadataRecord</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identifier, title, abstractText, keywords, rawPayload, lastSyncedAt</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Réceptacle de métadonnées normalisées ou synchronisées depuis un catalogue externe.</w:t>
            </w:r>
          </w:p>
        </w:tc>
      </w:tr>
    </w:tbl>
    <w:p/>
    <w:p>
      <w:pPr>
        <w:pStyle w:val="Heading1"/>
        <w:keepNext/>
      </w:pPr>
      <w:r>
        <w:t>7. Exigences De Fourniture Des Données</w:t>
      </w:r>
    </w:p>
    <w:tbl>
      <w:tblPr>
        <w:tblStyle w:val="TableGrid"/>
        <w:tblW w:type="dxa" w:w="9360"/>
        <w:jc w:val="left"/>
        <w:tblLayout w:type="fixed"/>
        <w:tblLook w:firstColumn="1" w:firstRow="1" w:lastColumn="0" w:lastRow="0" w:noHBand="0" w:noVBand="1" w:val="04A0"/>
        <w:tblInd w:w="0" w:type="dxa"/>
      </w:tblPr>
      <w:tblGrid>
        <w:gridCol w:w="9360"/>
      </w:tblGrid>
      <w:tr>
        <w:trPr>
          <w:cantSplit/>
          <w:tblHeader w:val="true"/>
        </w:trPr>
        <w:tc>
          <w:tcPr>
            <w:tcW w:type="dxa" w:w="9360"/>
            <w:shd w:fill="EEF6FA"/>
            <w:tcMar>
              <w:top w:w="90" w:type="dxa"/>
              <w:bottom w:w="90" w:type="dxa"/>
              <w:left w:w="120" w:type="dxa"/>
              <w:right w:w="120" w:type="dxa"/>
            </w:tcMar>
          </w:tcPr>
          <w:p>
            <w:pPr>
              <w:spacing w:after="40" w:line="250" w:lineRule="auto"/>
            </w:pPr>
            <w:r>
              <w:rPr>
                <w:rFonts w:ascii="Arial" w:hAnsi="Arial"/>
                <w:b/>
                <w:color w:val="0E5AA7"/>
                <w:sz w:val="18"/>
              </w:rPr>
            </w:r>
            <w:r>
              <w:rPr>
                <w:rFonts w:ascii="Arial" w:hAnsi="Arial"/>
                <w:b/>
                <w:color w:val="0E5AA7"/>
                <w:sz w:val="18"/>
              </w:rPr>
              <w:t>Principe contractuel</w:t>
            </w:r>
          </w:p>
          <w:p>
            <w:pPr>
              <w:spacing w:line="250" w:lineRule="auto" w:after="40"/>
            </w:pPr>
            <w:r>
              <w:rPr>
                <w:rFonts w:ascii="Arial" w:hAnsi="Arial"/>
                <w:b/>
                <w:color w:val="0E5AA7"/>
                <w:sz w:val="18"/>
              </w:rPr>
              <w:t>Une ressource fournie à la PF RDE doit être utilisable sans intervention corrective : format lisible, encodage connu, projection connue pour les données géographiques, champs métier documentés, licence déclarée, visibilité définie, URL stable ou fichier publié, et métadonnées minimales complètes.</w:t>
            </w:r>
          </w:p>
        </w:tc>
      </w:tr>
    </w:tbl>
    <w:p/>
    <w:p>
      <w:pPr>
        <w:pStyle w:val="Heading2"/>
        <w:keepNext/>
      </w:pPr>
      <w:r>
        <w:t>7.1 Métadonnées minimales obligatoires</w:t>
      </w:r>
    </w:p>
    <w:tbl>
      <w:tblPr>
        <w:tblStyle w:val="TableGrid"/>
        <w:tblW w:type="dxa" w:w="9360"/>
        <w:jc w:val="left"/>
        <w:tblLayout w:type="fixed"/>
        <w:tblLook w:firstColumn="1" w:firstRow="1" w:lastColumn="0" w:lastRow="0" w:noHBand="0" w:noVBand="1" w:val="04A0"/>
        <w:tblInd w:w="0" w:type="dxa"/>
      </w:tblPr>
      <w:tblGrid>
        <w:gridCol w:w="2200"/>
        <w:gridCol w:w="1500"/>
        <w:gridCol w:w="5660"/>
      </w:tblGrid>
      <w:tr>
        <w:trPr>
          <w:cantSplit/>
          <w:tblHeader w:val="true"/>
        </w:trPr>
        <w:tc>
          <w:tcPr>
            <w:tcW w:type="dxa" w:w="22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Champ attendu</w:t>
            </w:r>
          </w:p>
        </w:tc>
        <w:tc>
          <w:tcPr>
            <w:tcW w:type="dxa" w:w="15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Obligatoire</w:t>
            </w:r>
          </w:p>
        </w:tc>
        <w:tc>
          <w:tcPr>
            <w:tcW w:type="dxa" w:w="56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Règle</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title</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Oui</w:t>
            </w:r>
          </w:p>
        </w:tc>
        <w:tc>
          <w:tcPr>
            <w:tcW w:type="dxa" w:w="5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Titre clair, stable et compréhensible hors contexte technique.</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slug</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Oui</w:t>
            </w:r>
          </w:p>
        </w:tc>
        <w:tc>
          <w:tcPr>
            <w:tcW w:type="dxa" w:w="5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Identifiant URL unique, en minuscules, sans accent, stable entre versions.</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sourceType</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Oui</w:t>
            </w:r>
          </w:p>
        </w:tc>
        <w:tc>
          <w:tcPr>
            <w:tcW w:type="dxa" w:w="5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Valeur parmi cartography_link, wms, wfs, data_file, static_map.</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summary</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Oui fonctionnellement</w:t>
            </w:r>
          </w:p>
        </w:tc>
        <w:tc>
          <w:tcPr>
            <w:tcW w:type="dxa" w:w="5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Résumé court affiché dans les listes et fiches.</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description</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Recommandé</w:t>
            </w:r>
          </w:p>
        </w:tc>
        <w:tc>
          <w:tcPr>
            <w:tcW w:type="dxa" w:w="5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Description longue, périmètre, limites d'usage et fréquence de mise à jour.</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theme</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Oui</w:t>
            </w:r>
          </w:p>
        </w:tc>
        <w:tc>
          <w:tcPr>
            <w:tcW w:type="dxa" w:w="5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Thème cartothèque contrôlé par la taxonomie map_theme.</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categories</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Oui</w:t>
            </w:r>
          </w:p>
        </w:tc>
        <w:tc>
          <w:tcPr>
            <w:tcW w:type="dxa" w:w="5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Une ou plusieurs catégories publiées pour le filtrage.</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format</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Oui</w:t>
            </w:r>
          </w:p>
        </w:tc>
        <w:tc>
          <w:tcPr>
            <w:tcW w:type="dxa" w:w="5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Format principal : xlsx, csv, json, geojson, gpkg, shp, pdf, image, wms, wfs, websig, other.</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license</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Oui si réutilisable</w:t>
            </w:r>
          </w:p>
        </w:tc>
        <w:tc>
          <w:tcPr>
            <w:tcW w:type="dxa" w:w="5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Licence ou régime juridique : Open License, interne, convention, autre.</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visibilityScope</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Oui</w:t>
            </w:r>
          </w:p>
        </w:tc>
        <w:tc>
          <w:tcPr>
            <w:tcW w:type="dxa" w:w="5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public, external ou internal selon la cible de consultation.</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publishedAt/status</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Oui pour publication</w:t>
            </w:r>
          </w:p>
        </w:tc>
        <w:tc>
          <w:tcPr>
            <w:tcW w:type="dxa" w:w="5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status=published et date de publication pour être visible.</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thumbnailPath/iconKey</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Recommandé</w:t>
            </w:r>
          </w:p>
        </w:tc>
        <w:tc>
          <w:tcPr>
            <w:tcW w:type="dxa" w:w="5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Image ou icône pour améliorer la lisibilité dans le catalogue.</w:t>
            </w:r>
          </w:p>
        </w:tc>
      </w:tr>
    </w:tbl>
    <w:p/>
    <w:p>
      <w:pPr>
        <w:pStyle w:val="Heading2"/>
        <w:keepNext/>
      </w:pPr>
      <w:r>
        <w:t>7.2 Formats acceptés</w:t>
      </w:r>
    </w:p>
    <w:tbl>
      <w:tblPr>
        <w:tblStyle w:val="TableGrid"/>
        <w:tblW w:type="dxa" w:w="9360"/>
        <w:jc w:val="left"/>
        <w:tblLayout w:type="fixed"/>
        <w:tblLook w:firstColumn="1" w:firstRow="1" w:lastColumn="0" w:lastRow="0" w:noHBand="0" w:noVBand="1" w:val="04A0"/>
        <w:tblInd w:w="0" w:type="dxa"/>
      </w:tblPr>
      <w:tblGrid>
        <w:gridCol w:w="1700"/>
        <w:gridCol w:w="2100"/>
        <w:gridCol w:w="5560"/>
      </w:tblGrid>
      <w:tr>
        <w:trPr>
          <w:cantSplit/>
          <w:tblHeader w:val="true"/>
        </w:trPr>
        <w:tc>
          <w:tcPr>
            <w:tcW w:type="dxa" w:w="17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Famille</w:t>
            </w:r>
          </w:p>
        </w:tc>
        <w:tc>
          <w:tcPr>
            <w:tcW w:type="dxa" w:w="21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Formats attendus</w:t>
            </w:r>
          </w:p>
        </w:tc>
        <w:tc>
          <w:tcPr>
            <w:tcW w:type="dxa" w:w="55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Exigences</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Tabulaire</w:t>
            </w:r>
          </w:p>
        </w:tc>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CSV UTF-8, XLSX</w:t>
            </w:r>
          </w:p>
        </w:tc>
        <w:tc>
          <w:tcPr>
            <w:tcW w:type="dxa" w:w="55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En-têtes explicites, types de colonnes documentés, séparateur CSV indiqué, pas de cellules fusionnées dans les tables de données.</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Géographique fichier</w:t>
            </w:r>
          </w:p>
        </w:tc>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GeoJSON, GeoPackage, Shapefile compressé .zip</w:t>
            </w:r>
          </w:p>
        </w:tc>
        <w:tc>
          <w:tcPr>
            <w:tcW w:type="dxa" w:w="55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Projection déclarée ; privilégier WGS84 EPSG:4326 pour GeoJSON web ; géométries valides ; attributs métier stables.</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Cartes statiques</w:t>
            </w:r>
          </w:p>
        </w:tc>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PDF, PNG, JPG</w:t>
            </w:r>
          </w:p>
        </w:tc>
        <w:tc>
          <w:tcPr>
            <w:tcW w:type="dxa" w:w="55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Résolution adaptée, date de document, légende, source et version visibles ou référencées.</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Services</w:t>
            </w:r>
          </w:p>
        </w:tc>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WMS, WFS</w:t>
            </w:r>
          </w:p>
        </w:tc>
        <w:tc>
          <w:tcPr>
            <w:tcW w:type="dxa" w:w="55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Endpoint HTTPS stable, GetCapabilities disponible, couche nommée, timeouts compatibles, disponibilité supervisable.</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Web/SIG</w:t>
            </w:r>
          </w:p>
        </w:tc>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URL HTTPS ou lien interne</w:t>
            </w:r>
          </w:p>
        </w:tc>
        <w:tc>
          <w:tcPr>
            <w:tcW w:type="dxa" w:w="55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URL non locale pour une ressource publique ; pas de localhost ni domaine .local en visibilité public.</w:t>
            </w:r>
          </w:p>
        </w:tc>
      </w:tr>
      <w:tr>
        <w:trPr>
          <w:cantSplit/>
        </w:trPr>
        <w:tc>
          <w:tcPr>
            <w:tcW w:type="dxa" w:w="17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Métadonnées</w:t>
            </w:r>
          </w:p>
        </w:tc>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JSON normalisé, ISO/INSPIRE si disponible</w:t>
            </w:r>
          </w:p>
        </w:tc>
        <w:tc>
          <w:tcPr>
            <w:tcW w:type="dxa" w:w="55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Identifier unique, titre, résumé, mots-clés, producteur, dates, emprise, licence, fréquence de mise à jour.</w:t>
            </w:r>
          </w:p>
        </w:tc>
      </w:tr>
    </w:tbl>
    <w:p/>
    <w:p>
      <w:pPr>
        <w:pStyle w:val="Heading2"/>
        <w:keepNext/>
      </w:pPr>
      <w:r>
        <w:t>7.3 Nommage et publication de fichiers</w:t>
      </w:r>
    </w:p>
    <w:p>
      <w:pPr>
        <w:pStyle w:val="ListBullet"/>
        <w:spacing w:after="100"/>
        <w:ind w:left="720" w:hanging="360"/>
      </w:pPr>
      <w:r>
        <w:rPr>
          <w:rFonts w:ascii="Arial" w:hAnsi="Arial"/>
          <w:color w:val="1F2933"/>
          <w:sz w:val="21"/>
        </w:rPr>
        <w:t>Les fichiers publiés doivent être déposés sous public/files, public/uploads ou public/uploads/data-sources, puis référencés par un chemin commençant idéalement par /files/.</w:t>
      </w:r>
    </w:p>
    <w:p>
      <w:pPr>
        <w:pStyle w:val="ListBullet"/>
        <w:spacing w:after="100"/>
        <w:ind w:left="720" w:hanging="360"/>
      </w:pPr>
      <w:r>
        <w:rPr>
          <w:rFonts w:ascii="Arial" w:hAnsi="Arial"/>
          <w:color w:val="1F2933"/>
          <w:sz w:val="21"/>
        </w:rPr>
        <w:t>Le nom de fichier doit être explicite, sans espace ni accent, avec une version ou une date lorsque la ressource évolue : reseau-routier-2026-05.geojson.</w:t>
      </w:r>
    </w:p>
    <w:p>
      <w:pPr>
        <w:pStyle w:val="ListBullet"/>
        <w:spacing w:after="100"/>
        <w:ind w:left="720" w:hanging="360"/>
      </w:pPr>
      <w:r>
        <w:rPr>
          <w:rFonts w:ascii="Arial" w:hAnsi="Arial"/>
          <w:color w:val="1F2933"/>
          <w:sz w:val="21"/>
        </w:rPr>
        <w:t>Le champ filePath doit pointer vers le chemin public de téléchargement pour les data_file et static_map lorsque la ressource est servie par le portail.</w:t>
      </w:r>
    </w:p>
    <w:p>
      <w:pPr>
        <w:pStyle w:val="ListBullet"/>
        <w:spacing w:after="100"/>
        <w:ind w:left="720" w:hanging="360"/>
      </w:pPr>
      <w:r>
        <w:rPr>
          <w:rFonts w:ascii="Arial" w:hAnsi="Arial"/>
          <w:color w:val="1F2933"/>
          <w:sz w:val="21"/>
        </w:rPr>
        <w:t>Le endpoint /files/{path} recherche dans public/files, public/uploads et public/uploads/data-sources ; il refuse les chemins contenant ..</w:t>
      </w:r>
    </w:p>
    <w:p>
      <w:pPr>
        <w:pStyle w:val="ListBullet"/>
        <w:spacing w:after="100"/>
        <w:ind w:left="720" w:hanging="360"/>
      </w:pPr>
      <w:r>
        <w:rPr>
          <w:rFonts w:ascii="Arial" w:hAnsi="Arial"/>
          <w:color w:val="1F2933"/>
          <w:sz w:val="21"/>
        </w:rPr>
        <w:t>Pour une ressource externe, utiliser url/sourceUrl uniquement si l'URL est stable, HTTPS et accessible au niveau de visibilité prévu.</w:t>
      </w:r>
    </w:p>
    <w:p>
      <w:pPr>
        <w:pStyle w:val="Heading2"/>
        <w:keepNext/>
      </w:pPr>
      <w:r>
        <w:t>7.4 Données géographiques</w:t>
      </w:r>
    </w:p>
    <w:tbl>
      <w:tblPr>
        <w:tblStyle w:val="TableGrid"/>
        <w:tblW w:type="dxa" w:w="9360"/>
        <w:jc w:val="left"/>
        <w:tblLayout w:type="fixed"/>
        <w:tblLook w:firstColumn="1" w:firstRow="1" w:lastColumn="0" w:lastRow="0" w:noHBand="0" w:noVBand="1" w:val="04A0"/>
        <w:tblInd w:w="0" w:type="dxa"/>
      </w:tblPr>
      <w:tblGrid>
        <w:gridCol w:w="2300"/>
        <w:gridCol w:w="7060"/>
      </w:tblGrid>
      <w:tr>
        <w:trPr>
          <w:cantSplit/>
          <w:tblHeader w:val="true"/>
        </w:trPr>
        <w:tc>
          <w:tcPr>
            <w:tcW w:type="dxa" w:w="23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Exigence</w:t>
            </w:r>
          </w:p>
        </w:tc>
        <w:tc>
          <w:tcPr>
            <w:tcW w:type="dxa" w:w="70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Détail</w:t>
            </w:r>
          </w:p>
        </w:tc>
      </w:tr>
      <w:tr>
        <w:trPr>
          <w:cantSplit/>
        </w:trPr>
        <w:tc>
          <w:tcPr>
            <w:tcW w:type="dxa" w:w="2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Système de coordonnées</w:t>
            </w:r>
          </w:p>
        </w:tc>
        <w:tc>
          <w:tcPr>
            <w:tcW w:type="dxa" w:w="70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Indiquer explicitement l'EPSG. Pour GeoJSON consommé côté web, fournir en EPSG:4326 sauf accord contraire.</w:t>
            </w:r>
          </w:p>
        </w:tc>
      </w:tr>
      <w:tr>
        <w:trPr>
          <w:cantSplit/>
        </w:trPr>
        <w:tc>
          <w:tcPr>
            <w:tcW w:type="dxa" w:w="2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Validité géométrique</w:t>
            </w:r>
          </w:p>
        </w:tc>
        <w:tc>
          <w:tcPr>
            <w:tcW w:type="dxa" w:w="70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Pas de géométries nulles, auto-intersections non maîtrisées, Multi* inattendus ou coordonnées hors emprise.</w:t>
            </w:r>
          </w:p>
        </w:tc>
      </w:tr>
      <w:tr>
        <w:trPr>
          <w:cantSplit/>
        </w:trPr>
        <w:tc>
          <w:tcPr>
            <w:tcW w:type="dxa" w:w="2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Emprise</w:t>
            </w:r>
          </w:p>
        </w:tc>
        <w:tc>
          <w:tcPr>
            <w:tcW w:type="dxa" w:w="70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Préciser l'emprise territoriale et la granularité : commune, axe, tronçon, point, ouvrage, chantier.</w:t>
            </w:r>
          </w:p>
        </w:tc>
      </w:tr>
      <w:tr>
        <w:trPr>
          <w:cantSplit/>
        </w:trPr>
        <w:tc>
          <w:tcPr>
            <w:tcW w:type="dxa" w:w="2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Identifiant stable</w:t>
            </w:r>
          </w:p>
        </w:tc>
        <w:tc>
          <w:tcPr>
            <w:tcW w:type="dxa" w:w="70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Chaque objet doit disposer d'un identifiant métier stable, par exemple feature_id ou id_source.</w:t>
            </w:r>
          </w:p>
        </w:tc>
      </w:tr>
      <w:tr>
        <w:trPr>
          <w:cantSplit/>
        </w:trPr>
        <w:tc>
          <w:tcPr>
            <w:tcW w:type="dxa" w:w="2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Attributs minimaux</w:t>
            </w:r>
          </w:p>
        </w:tc>
        <w:tc>
          <w:tcPr>
            <w:tcW w:type="dxa" w:w="70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title, description, commune, category, status quand la couche alimente l'interactivité actuelle.</w:t>
            </w:r>
          </w:p>
        </w:tc>
      </w:tr>
      <w:tr>
        <w:trPr>
          <w:cantSplit/>
        </w:trPr>
        <w:tc>
          <w:tcPr>
            <w:tcW w:type="dxa" w:w="2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Mise à jour</w:t>
            </w:r>
          </w:p>
        </w:tc>
        <w:tc>
          <w:tcPr>
            <w:tcW w:type="dxa" w:w="70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Fournir date de validité, date de production, fréquence et mode de diffusion delta/complet.</w:t>
            </w:r>
          </w:p>
        </w:tc>
      </w:tr>
      <w:tr>
        <w:trPr>
          <w:cantSplit/>
        </w:trPr>
        <w:tc>
          <w:tcPr>
            <w:tcW w:type="dxa" w:w="2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Qualité</w:t>
            </w:r>
          </w:p>
        </w:tc>
        <w:tc>
          <w:tcPr>
            <w:tcW w:type="dxa" w:w="70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Indiquer précision, source, méthode de collecte, seuils de tolérance et limites de réutilisation.</w:t>
            </w:r>
          </w:p>
        </w:tc>
      </w:tr>
    </w:tbl>
    <w:p/>
    <w:p>
      <w:pPr>
        <w:pStyle w:val="Heading2"/>
        <w:keepNext/>
      </w:pPr>
      <w:r>
        <w:t>7.5 Contrat minimal GeoJSON pour carte interactive</w:t>
      </w:r>
    </w:p>
    <w:p>
      <w:pPr>
        <w:spacing w:after="120" w:line="259" w:lineRule="auto"/>
      </w:pPr>
      <w:r>
        <w:rPr>
          <w:rFonts w:ascii="Arial" w:hAnsi="Arial"/>
          <w:color w:val="1F2933"/>
          <w:sz w:val="21"/>
        </w:rPr>
        <w:t>L'API interactive actuelle manipule des FeatureCollection et exploite les propriétés layer_id, feature_id, title, status, category, commune, description, speed_limit, length_km, start_date, end_date et severity. Les lots SIG doivent conserver ces propriétés ou fournir un mapping avant intégration.</w:t>
      </w:r>
    </w:p>
    <w:tbl>
      <w:tblPr>
        <w:tblStyle w:val="TableGrid"/>
        <w:tblW w:type="dxa" w:w="9360"/>
        <w:jc w:val="left"/>
        <w:tblLayout w:type="fixed"/>
        <w:tblLook w:firstColumn="1" w:firstRow="1" w:lastColumn="0" w:lastRow="0" w:noHBand="0" w:noVBand="1" w:val="04A0"/>
        <w:tblInd w:w="0" w:type="dxa"/>
      </w:tblPr>
      <w:tblGrid>
        <w:gridCol w:w="2400"/>
        <w:gridCol w:w="1500"/>
        <w:gridCol w:w="5460"/>
      </w:tblGrid>
      <w:tr>
        <w:trPr>
          <w:cantSplit/>
          <w:tblHeader w:val="true"/>
        </w:trPr>
        <w:tc>
          <w:tcPr>
            <w:tcW w:type="dxa" w:w="24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Propriété</w:t>
            </w:r>
          </w:p>
        </w:tc>
        <w:tc>
          <w:tcPr>
            <w:tcW w:type="dxa" w:w="15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Type</w:t>
            </w:r>
          </w:p>
        </w:tc>
        <w:tc>
          <w:tcPr>
            <w:tcW w:type="dxa" w:w="54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Usage UI</w:t>
            </w:r>
          </w:p>
        </w:tc>
      </w:tr>
      <w:tr>
        <w:trPr>
          <w:cantSplit/>
        </w:trPr>
        <w:tc>
          <w:tcPr>
            <w:tcW w:type="dxa" w:w="2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feature_id</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string</w:t>
            </w:r>
          </w:p>
        </w:tc>
        <w:tc>
          <w:tcPr>
            <w:tcW w:type="dxa" w:w="5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Identifiant affichable et stable de l'objet.</w:t>
            </w:r>
          </w:p>
        </w:tc>
      </w:tr>
      <w:tr>
        <w:trPr>
          <w:cantSplit/>
        </w:trPr>
        <w:tc>
          <w:tcPr>
            <w:tcW w:type="dxa" w:w="2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layer_id</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string</w:t>
            </w:r>
          </w:p>
        </w:tc>
        <w:tc>
          <w:tcPr>
            <w:tcW w:type="dxa" w:w="5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Rattachement à une couche MapLayer.name.</w:t>
            </w:r>
          </w:p>
        </w:tc>
      </w:tr>
      <w:tr>
        <w:trPr>
          <w:cantSplit/>
        </w:trPr>
        <w:tc>
          <w:tcPr>
            <w:tcW w:type="dxa" w:w="2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title</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string</w:t>
            </w:r>
          </w:p>
        </w:tc>
        <w:tc>
          <w:tcPr>
            <w:tcW w:type="dxa" w:w="5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Titre dans le panneau d'information.</w:t>
            </w:r>
          </w:p>
        </w:tc>
      </w:tr>
      <w:tr>
        <w:trPr>
          <w:cantSplit/>
        </w:trPr>
        <w:tc>
          <w:tcPr>
            <w:tcW w:type="dxa" w:w="2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status</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string</w:t>
            </w:r>
          </w:p>
        </w:tc>
        <w:tc>
          <w:tcPr>
            <w:tcW w:type="dxa" w:w="5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Filtre et légende ; exemples : open, planned, in_progress, done.</w:t>
            </w:r>
          </w:p>
        </w:tc>
      </w:tr>
      <w:tr>
        <w:trPr>
          <w:cantSplit/>
        </w:trPr>
        <w:tc>
          <w:tcPr>
            <w:tcW w:type="dxa" w:w="2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category</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string</w:t>
            </w:r>
          </w:p>
        </w:tc>
        <w:tc>
          <w:tcPr>
            <w:tcW w:type="dxa" w:w="5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Filtre et légende ; exemples : nationale, departementale, communale, chantier, maintenance.</w:t>
            </w:r>
          </w:p>
        </w:tc>
      </w:tr>
      <w:tr>
        <w:trPr>
          <w:cantSplit/>
        </w:trPr>
        <w:tc>
          <w:tcPr>
            <w:tcW w:type="dxa" w:w="2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commune</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string</w:t>
            </w:r>
          </w:p>
        </w:tc>
        <w:tc>
          <w:tcPr>
            <w:tcW w:type="dxa" w:w="5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Recherche et contexte territorial.</w:t>
            </w:r>
          </w:p>
        </w:tc>
      </w:tr>
      <w:tr>
        <w:trPr>
          <w:cantSplit/>
        </w:trPr>
        <w:tc>
          <w:tcPr>
            <w:tcW w:type="dxa" w:w="2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description</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string</w:t>
            </w:r>
          </w:p>
        </w:tc>
        <w:tc>
          <w:tcPr>
            <w:tcW w:type="dxa" w:w="5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Texte descriptif dans feature-info.</w:t>
            </w:r>
          </w:p>
        </w:tc>
      </w:tr>
      <w:tr>
        <w:trPr>
          <w:cantSplit/>
        </w:trPr>
        <w:tc>
          <w:tcPr>
            <w:tcW w:type="dxa" w:w="2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speed_limit</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number</w:t>
            </w:r>
          </w:p>
        </w:tc>
        <w:tc>
          <w:tcPr>
            <w:tcW w:type="dxa" w:w="5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Métadonnée optionnelle des axes routiers.</w:t>
            </w:r>
          </w:p>
        </w:tc>
      </w:tr>
      <w:tr>
        <w:trPr>
          <w:cantSplit/>
        </w:trPr>
        <w:tc>
          <w:tcPr>
            <w:tcW w:type="dxa" w:w="2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length_km</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number</w:t>
            </w:r>
          </w:p>
        </w:tc>
        <w:tc>
          <w:tcPr>
            <w:tcW w:type="dxa" w:w="5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Longueur optionnelle en kilomètres.</w:t>
            </w:r>
          </w:p>
        </w:tc>
      </w:tr>
      <w:tr>
        <w:trPr>
          <w:cantSplit/>
        </w:trPr>
        <w:tc>
          <w:tcPr>
            <w:tcW w:type="dxa" w:w="2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start_date / end_date</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date ISO</w:t>
            </w:r>
          </w:p>
        </w:tc>
        <w:tc>
          <w:tcPr>
            <w:tcW w:type="dxa" w:w="5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Dates d'événements ou travaux.</w:t>
            </w:r>
          </w:p>
        </w:tc>
      </w:tr>
      <w:tr>
        <w:trPr>
          <w:cantSplit/>
        </w:trPr>
        <w:tc>
          <w:tcPr>
            <w:tcW w:type="dxa" w:w="2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severity</w:t>
            </w:r>
          </w:p>
        </w:tc>
        <w:tc>
          <w:tcPr>
            <w:tcW w:type="dxa" w:w="1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string</w:t>
            </w:r>
          </w:p>
        </w:tc>
        <w:tc>
          <w:tcPr>
            <w:tcW w:type="dxa" w:w="5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Criticité ou niveau de vigilance.</w:t>
            </w:r>
          </w:p>
        </w:tc>
      </w:tr>
    </w:tbl>
    <w:p/>
    <w:p>
      <w:pPr>
        <w:pStyle w:val="Heading1"/>
        <w:keepNext/>
      </w:pPr>
      <w:r>
        <w:t>8. Interfaces Et API</w:t>
      </w:r>
    </w:p>
    <w:p>
      <w:pPr>
        <w:pStyle w:val="Heading2"/>
        <w:keepNext/>
      </w:pPr>
      <w:r>
        <w:t>8.1 Routes publiques et privées</w:t>
      </w:r>
    </w:p>
    <w:tbl>
      <w:tblPr>
        <w:tblStyle w:val="TableGrid"/>
        <w:tblW w:type="dxa" w:w="9360"/>
        <w:jc w:val="left"/>
        <w:tblLayout w:type="fixed"/>
        <w:tblLook w:firstColumn="1" w:firstRow="1" w:lastColumn="0" w:lastRow="0" w:noHBand="0" w:noVBand="1" w:val="04A0"/>
        <w:tblInd w:w="0" w:type="dxa"/>
      </w:tblPr>
      <w:tblGrid>
        <w:gridCol w:w="1600"/>
        <w:gridCol w:w="3600"/>
        <w:gridCol w:w="4160"/>
      </w:tblGrid>
      <w:tr>
        <w:trPr>
          <w:cantSplit/>
          <w:tblHeader w:val="true"/>
        </w:trPr>
        <w:tc>
          <w:tcPr>
            <w:tcW w:type="dxa" w:w="16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Surface</w:t>
            </w:r>
          </w:p>
        </w:tc>
        <w:tc>
          <w:tcPr>
            <w:tcW w:type="dxa" w:w="36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Routes principales</w:t>
            </w:r>
          </w:p>
        </w:tc>
        <w:tc>
          <w:tcPr>
            <w:tcW w:type="dxa" w:w="41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Rôle</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Public</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 /donnees-cartes, /cartotheque, /cartes-interactives, /actualites, /pages/{slug}, /contact</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Consultation éditoriale, recherche et accès aux ressources.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Fiches</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/donnees-cartes/source/{slug}, /cartotheque/{slug}, /cartes-interactives/{slug}</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Détail d'une source, carte statique ou carte interactive.</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Fichiers</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/files/{path}</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Téléchargement de fichiers publiés.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Extranet</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/extranet, /extranet/favoris/*</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Favoris et demandes de ressources pour comptes connectés.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Agents</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/agents, /agents/demandes/nouvelle</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Demandes internes de données ou cartes.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Admin</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/admin et CRUD EasyAdmin</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Administration des contenus et données.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SSO</w:t>
            </w:r>
          </w:p>
        </w:tc>
        <w:tc>
          <w:tcPr>
            <w:tcW w:type="dxa" w:w="3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/sso/connexion, /sso/callback</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Connexion Microsoft 365 / Entra ID.</w:t>
            </w:r>
          </w:p>
        </w:tc>
      </w:tr>
    </w:tbl>
    <w:p/>
    <w:p>
      <w:pPr>
        <w:pStyle w:val="Heading2"/>
        <w:keepNext/>
      </w:pPr>
      <w:r>
        <w:t>8.2 API JSON</w:t>
      </w:r>
    </w:p>
    <w:tbl>
      <w:tblPr>
        <w:tblStyle w:val="TableGrid"/>
        <w:tblW w:type="dxa" w:w="9360"/>
        <w:jc w:val="left"/>
        <w:tblLayout w:type="fixed"/>
        <w:tblLook w:firstColumn="1" w:firstRow="1" w:lastColumn="0" w:lastRow="0" w:noHBand="0" w:noVBand="1" w:val="04A0"/>
        <w:tblInd w:w="0" w:type="dxa"/>
      </w:tblPr>
      <w:tblGrid>
        <w:gridCol w:w="2650"/>
        <w:gridCol w:w="900"/>
        <w:gridCol w:w="3400"/>
        <w:gridCol w:w="2410"/>
      </w:tblGrid>
      <w:tr>
        <w:trPr>
          <w:cantSplit/>
          <w:tblHeader w:val="true"/>
        </w:trPr>
        <w:tc>
          <w:tcPr>
            <w:tcW w:type="dxa" w:w="265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Endpoint</w:t>
            </w:r>
          </w:p>
        </w:tc>
        <w:tc>
          <w:tcPr>
            <w:tcW w:type="dxa" w:w="9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Méthode</w:t>
            </w:r>
          </w:p>
        </w:tc>
        <w:tc>
          <w:tcPr>
            <w:tcW w:type="dxa" w:w="34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Réponse / usage</w:t>
            </w:r>
          </w:p>
        </w:tc>
        <w:tc>
          <w:tcPr>
            <w:tcW w:type="dxa" w:w="241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Contraintes</w:t>
            </w:r>
          </w:p>
        </w:tc>
      </w:tr>
      <w:tr>
        <w:trPr>
          <w:cantSplit/>
        </w:trPr>
        <w:tc>
          <w:tcPr>
            <w:tcW w:type="dxa" w:w="265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/api/catalog/autocomplete</w:t>
            </w:r>
          </w:p>
        </w:tc>
        <w:tc>
          <w:tcPr>
            <w:tcW w:type="dxa" w:w="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GET</w:t>
            </w:r>
          </w:p>
        </w:tc>
        <w:tc>
          <w:tcPr>
            <w:tcW w:type="dxa" w:w="3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Suggestions de ressources à partir de q &gt;= 2 caractères.</w:t>
            </w:r>
          </w:p>
        </w:tc>
        <w:tc>
          <w:tcPr>
            <w:tcW w:type="dxa" w:w="241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Respecte les scopes de visibilité de l'utilisateur.</w:t>
            </w:r>
          </w:p>
        </w:tc>
      </w:tr>
      <w:tr>
        <w:trPr>
          <w:cantSplit/>
        </w:trPr>
        <w:tc>
          <w:tcPr>
            <w:tcW w:type="dxa" w:w="265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/api/static-maps</w:t>
            </w:r>
          </w:p>
        </w:tc>
        <w:tc>
          <w:tcPr>
            <w:tcW w:type="dxa" w:w="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GET</w:t>
            </w:r>
          </w:p>
        </w:tc>
        <w:tc>
          <w:tcPr>
            <w:tcW w:type="dxa" w:w="3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Recherche paginée de cartes statiques.</w:t>
            </w:r>
          </w:p>
        </w:tc>
        <w:tc>
          <w:tcPr>
            <w:tcW w:type="dxa" w:w="241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Filtres query, themes, year, page, perPage via DTO StaticMapSearchCriteria.</w:t>
            </w:r>
          </w:p>
        </w:tc>
      </w:tr>
      <w:tr>
        <w:trPr>
          <w:cantSplit/>
        </w:trPr>
        <w:tc>
          <w:tcPr>
            <w:tcW w:type="dxa" w:w="265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/api/static-maps/autocomplete</w:t>
            </w:r>
          </w:p>
        </w:tc>
        <w:tc>
          <w:tcPr>
            <w:tcW w:type="dxa" w:w="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GET</w:t>
            </w:r>
          </w:p>
        </w:tc>
        <w:tc>
          <w:tcPr>
            <w:tcW w:type="dxa" w:w="3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Suggestions de cartes statiques.</w:t>
            </w:r>
          </w:p>
        </w:tc>
        <w:tc>
          <w:tcPr>
            <w:tcW w:type="dxa" w:w="241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Résultats limités à 8.</w:t>
            </w:r>
          </w:p>
        </w:tc>
      </w:tr>
      <w:tr>
        <w:trPr>
          <w:cantSplit/>
        </w:trPr>
        <w:tc>
          <w:tcPr>
            <w:tcW w:type="dxa" w:w="265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/api/interactive-maps/{slug}/bootstrap</w:t>
            </w:r>
          </w:p>
        </w:tc>
        <w:tc>
          <w:tcPr>
            <w:tcW w:type="dxa" w:w="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GET</w:t>
            </w:r>
          </w:p>
        </w:tc>
        <w:tc>
          <w:tcPr>
            <w:tcW w:type="dxa" w:w="3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Configuration carte, couches, filtres, fond de carte et healthchecks.</w:t>
            </w:r>
          </w:p>
        </w:tc>
        <w:tc>
          <w:tcPr>
            <w:tcW w:type="dxa" w:w="241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404 si carte non publiée ou non visible.</w:t>
            </w:r>
          </w:p>
        </w:tc>
      </w:tr>
      <w:tr>
        <w:trPr>
          <w:cantSplit/>
        </w:trPr>
        <w:tc>
          <w:tcPr>
            <w:tcW w:type="dxa" w:w="265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/api/interactive-maps/{slug}/features</w:t>
            </w:r>
          </w:p>
        </w:tc>
        <w:tc>
          <w:tcPr>
            <w:tcW w:type="dxa" w:w="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GET</w:t>
            </w:r>
          </w:p>
        </w:tc>
        <w:tc>
          <w:tcPr>
            <w:tcW w:type="dxa" w:w="3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FeatureCollection filtrée.</w:t>
            </w:r>
          </w:p>
        </w:tc>
        <w:tc>
          <w:tcPr>
            <w:tcW w:type="dxa" w:w="241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Filtres layers/layer, status, category, q.</w:t>
            </w:r>
          </w:p>
        </w:tc>
      </w:tr>
      <w:tr>
        <w:trPr>
          <w:cantSplit/>
        </w:trPr>
        <w:tc>
          <w:tcPr>
            <w:tcW w:type="dxa" w:w="265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/api/interactive-maps/{slug}/basemap</w:t>
            </w:r>
          </w:p>
        </w:tc>
        <w:tc>
          <w:tcPr>
            <w:tcW w:type="dxa" w:w="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GET</w:t>
            </w:r>
          </w:p>
        </w:tc>
        <w:tc>
          <w:tcPr>
            <w:tcW w:type="dxa" w:w="3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Fond vectoriel local mock.</w:t>
            </w:r>
          </w:p>
        </w:tc>
        <w:tc>
          <w:tcPr>
            <w:tcW w:type="dxa" w:w="241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Même contrôle de visibilité.</w:t>
            </w:r>
          </w:p>
        </w:tc>
      </w:tr>
      <w:tr>
        <w:trPr>
          <w:cantSplit/>
        </w:trPr>
        <w:tc>
          <w:tcPr>
            <w:tcW w:type="dxa" w:w="265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/api/interactive-maps/{slug}/legend</w:t>
            </w:r>
          </w:p>
        </w:tc>
        <w:tc>
          <w:tcPr>
            <w:tcW w:type="dxa" w:w="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GET</w:t>
            </w:r>
          </w:p>
        </w:tc>
        <w:tc>
          <w:tcPr>
            <w:tcW w:type="dxa" w:w="3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Légende filtrée avec compteurs.</w:t>
            </w:r>
          </w:p>
        </w:tc>
        <w:tc>
          <w:tcPr>
            <w:tcW w:type="dxa" w:w="241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Dépend des propriétés status/category des features.</w:t>
            </w:r>
          </w:p>
        </w:tc>
      </w:tr>
      <w:tr>
        <w:trPr>
          <w:cantSplit/>
        </w:trPr>
        <w:tc>
          <w:tcPr>
            <w:tcW w:type="dxa" w:w="265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/api/interactive-maps/{slug}/feature-info</w:t>
            </w:r>
          </w:p>
        </w:tc>
        <w:tc>
          <w:tcPr>
            <w:tcW w:type="dxa" w:w="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GET</w:t>
            </w:r>
          </w:p>
        </w:tc>
        <w:tc>
          <w:tcPr>
            <w:tcW w:type="dxa" w:w="3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Objet proche des coordonnées lng/lat.</w:t>
            </w:r>
          </w:p>
        </w:tc>
        <w:tc>
          <w:tcPr>
            <w:tcW w:type="dxa" w:w="241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lng/lat bornés, distance max actuelle 5500 m.</w:t>
            </w:r>
          </w:p>
        </w:tc>
      </w:tr>
      <w:tr>
        <w:trPr>
          <w:cantSplit/>
        </w:trPr>
        <w:tc>
          <w:tcPr>
            <w:tcW w:type="dxa" w:w="265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/api/sig/health</w:t>
            </w:r>
          </w:p>
        </w:tc>
        <w:tc>
          <w:tcPr>
            <w:tcW w:type="dxa" w:w="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GET</w:t>
            </w:r>
          </w:p>
        </w:tc>
        <w:tc>
          <w:tcPr>
            <w:tcW w:type="dxa" w:w="3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Disponibilité des endpoints SIG et degradedMode.</w:t>
            </w:r>
          </w:p>
        </w:tc>
        <w:tc>
          <w:tcPr>
            <w:tcW w:type="dxa" w:w="241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Basé sur les MapServiceEndpoint enabled.</w:t>
            </w:r>
          </w:p>
        </w:tc>
      </w:tr>
      <w:tr>
        <w:trPr>
          <w:cantSplit/>
        </w:trPr>
        <w:tc>
          <w:tcPr>
            <w:tcW w:type="dxa" w:w="265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/api/admin/dashboard/metrics</w:t>
            </w:r>
          </w:p>
        </w:tc>
        <w:tc>
          <w:tcPr>
            <w:tcW w:type="dxa" w:w="9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GET</w:t>
            </w:r>
          </w:p>
        </w:tc>
        <w:tc>
          <w:tcPr>
            <w:tcW w:type="dxa" w:w="34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Snapshots d'indicateurs admin.</w:t>
            </w:r>
          </w:p>
        </w:tc>
        <w:tc>
          <w:tcPr>
            <w:tcW w:type="dxa" w:w="241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Accès ROLE_ADMIN.</w:t>
            </w:r>
          </w:p>
        </w:tc>
      </w:tr>
    </w:tbl>
    <w:p/>
    <w:p>
      <w:pPr>
        <w:pStyle w:val="Heading2"/>
        <w:keepNext/>
      </w:pPr>
      <w:r>
        <w:t>8.3 Contrat d'intégration services SIG</w:t>
      </w:r>
    </w:p>
    <w:p>
      <w:pPr>
        <w:pStyle w:val="ListBullet"/>
        <w:spacing w:after="100"/>
        <w:ind w:left="720" w:hanging="360"/>
      </w:pPr>
      <w:r>
        <w:rPr>
          <w:rFonts w:ascii="Arial" w:hAnsi="Arial"/>
          <w:color w:val="1F2933"/>
          <w:sz w:val="21"/>
        </w:rPr>
        <w:t>Chaque endpoint doit être représenté par MapServiceEndpoint avec name, serviceType, baseUrl, authType, credentialsRef, enabled et timeoutMs.</w:t>
      </w:r>
    </w:p>
    <w:p>
      <w:pPr>
        <w:pStyle w:val="ListBullet"/>
        <w:spacing w:after="100"/>
        <w:ind w:left="720" w:hanging="360"/>
      </w:pPr>
      <w:r>
        <w:rPr>
          <w:rFonts w:ascii="Arial" w:hAnsi="Arial"/>
          <w:color w:val="1F2933"/>
          <w:sz w:val="21"/>
        </w:rPr>
        <w:t>Chaque couche exploitable dans une carte interactive doit être représentée par MapLayer avec name, label, serviceLayerName, layerType et renderOrder.</w:t>
      </w:r>
    </w:p>
    <w:p>
      <w:pPr>
        <w:pStyle w:val="ListBullet"/>
        <w:spacing w:after="100"/>
        <w:ind w:left="720" w:hanging="360"/>
      </w:pPr>
      <w:r>
        <w:rPr>
          <w:rFonts w:ascii="Arial" w:hAnsi="Arial"/>
          <w:color w:val="1F2933"/>
          <w:sz w:val="21"/>
        </w:rPr>
        <w:t>Les noms de couches côté service doivent être stables ; MapLayer.serviceLayerName peut porter le nom WMS/WFS réel, tandis que MapLayer.name sert d'identifiant applicatif.</w:t>
      </w:r>
    </w:p>
    <w:p>
      <w:pPr>
        <w:pStyle w:val="ListBullet"/>
        <w:spacing w:after="100"/>
        <w:ind w:left="720" w:hanging="360"/>
      </w:pPr>
      <w:r>
        <w:rPr>
          <w:rFonts w:ascii="Arial" w:hAnsi="Arial"/>
          <w:color w:val="1F2933"/>
          <w:sz w:val="21"/>
        </w:rPr>
        <w:t>Un endpoint désactivé ne doit pas être interrogé par le healthcheck. Un endpoint actif doit répondre dans le timeout configuré.</w:t>
      </w:r>
    </w:p>
    <w:p>
      <w:pPr>
        <w:pStyle w:val="ListBullet"/>
        <w:spacing w:after="100"/>
        <w:ind w:left="720" w:hanging="360"/>
      </w:pPr>
      <w:r>
        <w:rPr>
          <w:rFonts w:ascii="Arial" w:hAnsi="Arial"/>
          <w:color w:val="1F2933"/>
          <w:sz w:val="21"/>
        </w:rPr>
        <w:t>L'authentification future doit passer par authType et credentialsRef ; aucun secret ne doit être livré dans un fichier de données, une URL publique ou un export Word.</w:t>
      </w:r>
    </w:p>
    <w:p>
      <w:pPr>
        <w:pStyle w:val="Heading1"/>
        <w:keepNext/>
      </w:pPr>
      <w:r>
        <w:t>9. Sécurité, Identité Et Accès</w:t>
      </w:r>
    </w:p>
    <w:p>
      <w:pPr>
        <w:spacing w:after="120" w:line="259" w:lineRule="auto"/>
      </w:pPr>
      <w:r>
        <w:rPr>
          <w:rFonts w:ascii="Arial" w:hAnsi="Arial"/>
          <w:color w:val="1F2933"/>
          <w:sz w:val="21"/>
        </w:rPr>
        <w:t>La sécurité repose sur Symfony Security, un provider User en base, un authenticator de formulaire local, une hiérarchie de rôles et une préparation SSO Microsoft 365 / Entra ID. Les ressources métier sont filtrées par visibilityScope via VisibilityScopeResolver.</w:t>
      </w:r>
    </w:p>
    <w:tbl>
      <w:tblPr>
        <w:tblStyle w:val="TableGrid"/>
        <w:tblW w:type="dxa" w:w="9360"/>
        <w:jc w:val="left"/>
        <w:tblLayout w:type="fixed"/>
        <w:tblLook w:firstColumn="1" w:firstRow="1" w:lastColumn="0" w:lastRow="0" w:noHBand="0" w:noVBand="1" w:val="04A0"/>
        <w:tblInd w:w="0" w:type="dxa"/>
      </w:tblPr>
      <w:tblGrid>
        <w:gridCol w:w="1800"/>
        <w:gridCol w:w="2800"/>
        <w:gridCol w:w="4760"/>
      </w:tblGrid>
      <w:tr>
        <w:trPr>
          <w:cantSplit/>
          <w:tblHeader w:val="true"/>
        </w:trPr>
        <w:tc>
          <w:tcPr>
            <w:tcW w:type="dxa" w:w="18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Rôle</w:t>
            </w:r>
          </w:p>
        </w:tc>
        <w:tc>
          <w:tcPr>
            <w:tcW w:type="dxa" w:w="28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Héritage / portée</w:t>
            </w:r>
          </w:p>
        </w:tc>
        <w:tc>
          <w:tcPr>
            <w:tcW w:type="dxa" w:w="47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Accès</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PUBLIC_ACCESS</w:t>
            </w:r>
          </w:p>
        </w:tc>
        <w:tc>
          <w:tcPr>
            <w:tcW w:type="dxa" w:w="2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Aucun compte</w:t>
            </w:r>
          </w:p>
        </w:tc>
        <w:tc>
          <w:tcPr>
            <w:tcW w:type="dxa" w:w="4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Pages publiques et ressources visibilityScope=public.</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ROLE_EXTERNAL</w:t>
            </w:r>
          </w:p>
        </w:tc>
        <w:tc>
          <w:tcPr>
            <w:tcW w:type="dxa" w:w="2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ROLE_USER</w:t>
            </w:r>
          </w:p>
        </w:tc>
        <w:tc>
          <w:tcPr>
            <w:tcW w:type="dxa" w:w="4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Extranet professionnel, favoris, ressources public + external.</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ROLE_AGENT</w:t>
            </w:r>
          </w:p>
        </w:tc>
        <w:tc>
          <w:tcPr>
            <w:tcW w:type="dxa" w:w="2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ROLE_EXTERNAL</w:t>
            </w:r>
          </w:p>
        </w:tc>
        <w:tc>
          <w:tcPr>
            <w:tcW w:type="dxa" w:w="4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Espace agent et ressources public + external + internal.</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ROLE_MANAGER</w:t>
            </w:r>
          </w:p>
        </w:tc>
        <w:tc>
          <w:tcPr>
            <w:tcW w:type="dxa" w:w="2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ROLE_AGENT</w:t>
            </w:r>
          </w:p>
        </w:tc>
        <w:tc>
          <w:tcPr>
            <w:tcW w:type="dxa" w:w="4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Gestion des demandes cartographiques dans l'admin.</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ROLE_ADMIN</w:t>
            </w:r>
          </w:p>
        </w:tc>
        <w:tc>
          <w:tcPr>
            <w:tcW w:type="dxa" w:w="2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ROLE_MANAGER + ROLE_ALLOWED_TO_SWITCH</w:t>
            </w:r>
          </w:p>
        </w:tc>
        <w:tc>
          <w:tcPr>
            <w:tcW w:type="dxa" w:w="4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Back-office complet et API admin.</w:t>
            </w:r>
          </w:p>
        </w:tc>
      </w:tr>
      <w:tr>
        <w:trPr>
          <w:cantSplit/>
        </w:trPr>
        <w:tc>
          <w:tcPr>
            <w:tcW w:type="dxa" w:w="1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ROLE_GOD</w:t>
            </w:r>
          </w:p>
        </w:tc>
        <w:tc>
          <w:tcPr>
            <w:tcW w:type="dxa" w:w="28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ROLE_ADMIN</w:t>
            </w:r>
          </w:p>
        </w:tc>
        <w:tc>
          <w:tcPr>
            <w:tcW w:type="dxa" w:w="4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Mode de simulation de profils pour l'utilisateur configuré.</w:t>
            </w:r>
          </w:p>
        </w:tc>
      </w:tr>
    </w:tbl>
    <w:p/>
    <w:p>
      <w:pPr>
        <w:pStyle w:val="Heading2"/>
        <w:keepNext/>
      </w:pPr>
      <w:r>
        <w:t>9.1 Scopes de visibilité</w:t>
      </w:r>
    </w:p>
    <w:tbl>
      <w:tblPr>
        <w:tblStyle w:val="TableGrid"/>
        <w:tblW w:type="dxa" w:w="9360"/>
        <w:jc w:val="left"/>
        <w:tblLayout w:type="fixed"/>
        <w:tblLook w:firstColumn="1" w:firstRow="1" w:lastColumn="0" w:lastRow="0" w:noHBand="0" w:noVBand="1" w:val="04A0"/>
        <w:tblInd w:w="0" w:type="dxa"/>
      </w:tblPr>
      <w:tblGrid>
        <w:gridCol w:w="1600"/>
        <w:gridCol w:w="3300"/>
        <w:gridCol w:w="4460"/>
      </w:tblGrid>
      <w:tr>
        <w:trPr>
          <w:cantSplit/>
          <w:tblHeader w:val="true"/>
        </w:trPr>
        <w:tc>
          <w:tcPr>
            <w:tcW w:type="dxa" w:w="16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Scope</w:t>
            </w:r>
          </w:p>
        </w:tc>
        <w:tc>
          <w:tcPr>
            <w:tcW w:type="dxa" w:w="33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Visible par</w:t>
            </w:r>
          </w:p>
        </w:tc>
        <w:tc>
          <w:tcPr>
            <w:tcW w:type="dxa" w:w="44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Usage</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public</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Tous les visiteurs</w:t>
            </w:r>
          </w:p>
        </w:tc>
        <w:tc>
          <w:tcPr>
            <w:tcW w:type="dxa" w:w="4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Données ouvertes, cartes publiques, contenus institutionnels.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external</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Comptes externes et rôles agents/admin</w:t>
            </w:r>
          </w:p>
        </w:tc>
        <w:tc>
          <w:tcPr>
            <w:tcW w:type="dxa" w:w="4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Ressources réservées aux partenaires ou professionnels enregistrés.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internal</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Agents, managers, admins</w:t>
            </w:r>
          </w:p>
        </w:tc>
        <w:tc>
          <w:tcPr>
            <w:tcW w:type="dxa" w:w="44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Services internes, WMS/WFS non publics, documents opérationnels.</w:t>
            </w:r>
          </w:p>
        </w:tc>
      </w:tr>
    </w:tbl>
    <w:p/>
    <w:p>
      <w:pPr>
        <w:pStyle w:val="Heading2"/>
        <w:keepNext/>
      </w:pPr>
      <w:r>
        <w:t>9.2 SSO Microsoft 365 / Entra ID</w:t>
      </w:r>
    </w:p>
    <w:p>
      <w:pPr>
        <w:pStyle w:val="ListBullet"/>
        <w:spacing w:after="100"/>
        <w:ind w:left="720" w:hanging="360"/>
      </w:pPr>
      <w:r>
        <w:rPr>
          <w:rFonts w:ascii="Arial" w:hAnsi="Arial"/>
          <w:color w:val="1F2933"/>
          <w:sz w:val="21"/>
        </w:rPr>
        <w:t>Le SSO est activé par APP_SSO_O365_ENABLED et nécessite tenantId, clientId, clientSecret et scope.</w:t>
      </w:r>
    </w:p>
    <w:p>
      <w:pPr>
        <w:pStyle w:val="ListBullet"/>
        <w:spacing w:after="100"/>
        <w:ind w:left="720" w:hanging="360"/>
      </w:pPr>
      <w:r>
        <w:rPr>
          <w:rFonts w:ascii="Arial" w:hAnsi="Arial"/>
          <w:color w:val="1F2933"/>
          <w:sz w:val="21"/>
        </w:rPr>
        <w:t>Le client OIDC vérifie state, nonce, présence d'un id_token, algorithme RS256, tenant, issuer, audience et expiration.</w:t>
      </w:r>
    </w:p>
    <w:p>
      <w:pPr>
        <w:pStyle w:val="ListBullet"/>
        <w:spacing w:after="100"/>
        <w:ind w:left="720" w:hanging="360"/>
      </w:pPr>
      <w:r>
        <w:rPr>
          <w:rFonts w:ascii="Arial" w:hAnsi="Arial"/>
          <w:color w:val="1F2933"/>
          <w:sz w:val="21"/>
        </w:rPr>
        <w:t>Le mapping des rôles externes vers rôles internes est piloté par APP_SSO_O365_ROLE_MAP, par défaut SIG_ADMIN, SIG_MANAGER, SIG_AGENT.</w:t>
      </w:r>
    </w:p>
    <w:p>
      <w:pPr>
        <w:pStyle w:val="ListBullet"/>
        <w:spacing w:after="100"/>
        <w:ind w:left="720" w:hanging="360"/>
      </w:pPr>
      <w:r>
        <w:rPr>
          <w:rFonts w:ascii="Arial" w:hAnsi="Arial"/>
          <w:color w:val="1F2933"/>
          <w:sz w:val="21"/>
        </w:rPr>
        <w:t>Le mode strict APP_SSO_O365_DENY_IF_UNMAPPED_ROLES refuse les rôles SSO non reconnus.</w:t>
      </w:r>
    </w:p>
    <w:p>
      <w:pPr>
        <w:pStyle w:val="ListBullet"/>
        <w:spacing w:after="100"/>
        <w:ind w:left="720" w:hanging="360"/>
      </w:pPr>
      <w:r>
        <w:rPr>
          <w:rFonts w:ascii="Arial" w:hAnsi="Arial"/>
          <w:color w:val="1F2933"/>
          <w:sz w:val="21"/>
        </w:rPr>
        <w:t>Le provisioning crée ou met à jour l'utilisateur, synchronise les rôles managés et définit authProvider=sso.</w:t>
      </w:r>
    </w:p>
    <w:p>
      <w:pPr>
        <w:pStyle w:val="Heading2"/>
        <w:keepNext/>
      </w:pPr>
      <w:r>
        <w:t>9.3 En-têtes et protection web</w:t>
      </w:r>
    </w:p>
    <w:p>
      <w:pPr>
        <w:pStyle w:val="ListBullet"/>
        <w:spacing w:after="100"/>
        <w:ind w:left="720" w:hanging="360"/>
      </w:pPr>
      <w:r>
        <w:rPr>
          <w:rFonts w:ascii="Arial" w:hAnsi="Arial"/>
          <w:color w:val="1F2933"/>
          <w:sz w:val="21"/>
        </w:rPr>
        <w:t>CSRF actif sur formulaires, logout, favoris et changement de profil de simulation.</w:t>
      </w:r>
    </w:p>
    <w:p>
      <w:pPr>
        <w:pStyle w:val="ListBullet"/>
        <w:spacing w:after="100"/>
        <w:ind w:left="720" w:hanging="360"/>
      </w:pPr>
      <w:r>
        <w:rPr>
          <w:rFonts w:ascii="Arial" w:hAnsi="Arial"/>
          <w:color w:val="1F2933"/>
          <w:sz w:val="21"/>
        </w:rPr>
        <w:t>Headers de sécurité : X-Content-Type-Options, X-Frame-Options, Referrer-Policy, Permissions-Policy, Content-Security-Policy.</w:t>
      </w:r>
    </w:p>
    <w:p>
      <w:pPr>
        <w:pStyle w:val="ListBullet"/>
        <w:spacing w:after="100"/>
        <w:ind w:left="720" w:hanging="360"/>
      </w:pPr>
      <w:r>
        <w:rPr>
          <w:rFonts w:ascii="Arial" w:hAnsi="Arial"/>
          <w:color w:val="1F2933"/>
          <w:sz w:val="21"/>
        </w:rPr>
        <w:t>CSP actuelle : ressources self, images data/https/blob, styles inline, scripts self/inline et ga.jspm.io, connect-src limité self et tuiles OSM.</w:t>
      </w:r>
    </w:p>
    <w:p>
      <w:pPr>
        <w:pStyle w:val="ListBullet"/>
        <w:spacing w:after="100"/>
        <w:ind w:left="720" w:hanging="360"/>
      </w:pPr>
      <w:r>
        <w:rPr>
          <w:rFonts w:ascii="Arial" w:hAnsi="Arial"/>
          <w:color w:val="1F2933"/>
          <w:sz w:val="21"/>
        </w:rPr>
        <w:t>Toute nouvelle intégration front ou cartographique doit déclarer ses domaines dans la CSP avant mise en production.</w:t>
      </w:r>
    </w:p>
    <w:p>
      <w:pPr>
        <w:pStyle w:val="Heading1"/>
        <w:keepNext/>
      </w:pPr>
      <w:r>
        <w:t>10. Cartographie Interactive</w:t>
      </w:r>
    </w:p>
    <w:p>
      <w:pPr>
        <w:spacing w:after="120" w:line="259" w:lineRule="auto"/>
      </w:pPr>
      <w:r>
        <w:rPr>
          <w:rFonts w:ascii="Arial" w:hAnsi="Arial"/>
          <w:color w:val="1F2933"/>
          <w:sz w:val="21"/>
        </w:rPr>
        <w:t>La carte interactive est chargée en deux temps : la page Twig fournit le conteneur et les informations de base, puis le contrôleur Stimulus appelle l'API bootstrap et les endpoints de features/légende/feature-info. Le mode mock actuel simule le réseau principal et les travaux planifiés.</w:t>
      </w:r>
    </w:p>
    <w:tbl>
      <w:tblPr>
        <w:tblStyle w:val="TableGrid"/>
        <w:tblW w:type="dxa" w:w="9360"/>
        <w:jc w:val="left"/>
        <w:tblLayout w:type="fixed"/>
        <w:tblLook w:firstColumn="1" w:firstRow="1" w:lastColumn="0" w:lastRow="0" w:noHBand="0" w:noVBand="1" w:val="04A0"/>
        <w:tblInd w:w="0" w:type="dxa"/>
      </w:tblPr>
      <w:tblGrid>
        <w:gridCol w:w="1600"/>
        <w:gridCol w:w="3100"/>
        <w:gridCol w:w="4660"/>
      </w:tblGrid>
      <w:tr>
        <w:trPr>
          <w:cantSplit/>
          <w:tblHeader w:val="true"/>
        </w:trPr>
        <w:tc>
          <w:tcPr>
            <w:tcW w:type="dxa" w:w="16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Étape</w:t>
            </w:r>
          </w:p>
        </w:tc>
        <w:tc>
          <w:tcPr>
            <w:tcW w:type="dxa" w:w="31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Composant</w:t>
            </w:r>
          </w:p>
        </w:tc>
        <w:tc>
          <w:tcPr>
            <w:tcW w:type="dxa" w:w="46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Détail</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Chargement page</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CartographyController::interactiveShow</w:t>
            </w:r>
          </w:p>
        </w:tc>
        <w:tc>
          <w:tcPr>
            <w:tcW w:type="dxa" w:w="4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Contrôle publication/visibilité, calcul du mode dégradé, rendu Twig.</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Bootstrap</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InteractiveMapApiController::bootstrap</w:t>
            </w:r>
          </w:p>
        </w:tc>
        <w:tc>
          <w:tcPr>
            <w:tcW w:type="dxa" w:w="4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Retourne centre, zoom, couches, filtres, fond de carte et healthchecks.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Affichage</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interactive_map_controller.js + MapLibre</w:t>
            </w:r>
          </w:p>
        </w:tc>
        <w:tc>
          <w:tcPr>
            <w:tcW w:type="dxa" w:w="4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Construit la carte, ajoute les couches, interroge les endpoints JSON.</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Données</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InteractiveMapMockDataService</w:t>
            </w:r>
          </w:p>
        </w:tc>
        <w:tc>
          <w:tcPr>
            <w:tcW w:type="dxa" w:w="4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Produit FeatureCollection, légende, basemap et feature-info en attendant les providers réels.</w:t>
            </w:r>
          </w:p>
        </w:tc>
      </w:tr>
      <w:tr>
        <w:trPr>
          <w:cantSplit/>
        </w:trPr>
        <w:tc>
          <w:tcPr>
            <w:tcW w:type="dxa" w:w="16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Supervision</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SigHealthcheckService</w:t>
            </w:r>
          </w:p>
        </w:tc>
        <w:tc>
          <w:tcPr>
            <w:tcW w:type="dxa" w:w="46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Appelle MapServiceProviderInterface pour chaque endpoint enabled.</w:t>
            </w:r>
          </w:p>
        </w:tc>
      </w:tr>
    </w:tbl>
    <w:p/>
    <w:p>
      <w:pPr>
        <w:pStyle w:val="Heading2"/>
        <w:keepNext/>
      </w:pPr>
      <w:r>
        <w:t>10.1 Exigences pour les couches</w:t>
      </w:r>
    </w:p>
    <w:p>
      <w:pPr>
        <w:pStyle w:val="ListBullet"/>
        <w:spacing w:after="100"/>
        <w:ind w:left="720" w:hanging="360"/>
      </w:pPr>
      <w:r>
        <w:rPr>
          <w:rFonts w:ascii="Arial" w:hAnsi="Arial"/>
          <w:color w:val="1F2933"/>
          <w:sz w:val="21"/>
        </w:rPr>
        <w:t>MapLayer.name doit être unique dans une carte et utilisable comme identifiant API lower-case.</w:t>
      </w:r>
    </w:p>
    <w:p>
      <w:pPr>
        <w:pStyle w:val="ListBullet"/>
        <w:spacing w:after="100"/>
        <w:ind w:left="720" w:hanging="360"/>
      </w:pPr>
      <w:r>
        <w:rPr>
          <w:rFonts w:ascii="Arial" w:hAnsi="Arial"/>
          <w:color w:val="1F2933"/>
          <w:sz w:val="21"/>
        </w:rPr>
        <w:t>renderOrder détermine l'ordre d'affichage ; les couches de fond et linéaires doivent précéder les points d'événements.</w:t>
      </w:r>
    </w:p>
    <w:p>
      <w:pPr>
        <w:pStyle w:val="ListBullet"/>
        <w:spacing w:after="100"/>
        <w:ind w:left="720" w:hanging="360"/>
      </w:pPr>
      <w:r>
        <w:rPr>
          <w:rFonts w:ascii="Arial" w:hAnsi="Arial"/>
          <w:color w:val="1F2933"/>
          <w:sz w:val="21"/>
        </w:rPr>
        <w:t>visibleByDefault doit refléter l'usage métier, pas uniquement la disponibilité technique.</w:t>
      </w:r>
    </w:p>
    <w:p>
      <w:pPr>
        <w:pStyle w:val="ListBullet"/>
        <w:spacing w:after="100"/>
        <w:ind w:left="720" w:hanging="360"/>
      </w:pPr>
      <w:r>
        <w:rPr>
          <w:rFonts w:ascii="Arial" w:hAnsi="Arial"/>
          <w:color w:val="1F2933"/>
          <w:sz w:val="21"/>
        </w:rPr>
        <w:t>styleConfig doit contenir les règles de symbolisation nécessaires lorsque l'implémentation réelle remplacera le mock.</w:t>
      </w:r>
    </w:p>
    <w:p>
      <w:pPr>
        <w:pStyle w:val="ListBullet"/>
        <w:spacing w:after="100"/>
        <w:ind w:left="720" w:hanging="360"/>
      </w:pPr>
      <w:r>
        <w:rPr>
          <w:rFonts w:ascii="Arial" w:hAnsi="Arial"/>
          <w:color w:val="1F2933"/>
          <w:sz w:val="21"/>
        </w:rPr>
        <w:t>filterConfig doit déclarer les champs filtrables, valeurs autorisées, libellés et règles d'affichage.</w:t>
      </w:r>
    </w:p>
    <w:p>
      <w:pPr>
        <w:pStyle w:val="Heading1"/>
        <w:keepNext/>
      </w:pPr>
      <w:r>
        <w:t>11. Back-office Et Gouvernance Éditoriale</w:t>
      </w:r>
    </w:p>
    <w:p>
      <w:pPr>
        <w:spacing w:after="120" w:line="259" w:lineRule="auto"/>
      </w:pPr>
      <w:r>
        <w:rPr>
          <w:rFonts w:ascii="Arial" w:hAnsi="Arial"/>
          <w:color w:val="1F2933"/>
          <w:sz w:val="21"/>
        </w:rPr>
        <w:t>Le back-office EasyAdmin est la surface d'administration de référence. Il est structuré par menus : contenus, sources de données, catégories, thèmes cartothèque, messages contact, demandes, utilisateurs. Les managers ont un accès ciblé aux demandes, les administrateurs au reste.</w:t>
      </w:r>
    </w:p>
    <w:tbl>
      <w:tblPr>
        <w:tblStyle w:val="TableGrid"/>
        <w:tblW w:type="dxa" w:w="9360"/>
        <w:jc w:val="left"/>
        <w:tblLayout w:type="fixed"/>
        <w:tblLook w:firstColumn="1" w:firstRow="1" w:lastColumn="0" w:lastRow="0" w:noHBand="0" w:noVBand="1" w:val="04A0"/>
        <w:tblInd w:w="0" w:type="dxa"/>
      </w:tblPr>
      <w:tblGrid>
        <w:gridCol w:w="2200"/>
        <w:gridCol w:w="3000"/>
        <w:gridCol w:w="4160"/>
      </w:tblGrid>
      <w:tr>
        <w:trPr>
          <w:cantSplit/>
          <w:tblHeader w:val="true"/>
        </w:trPr>
        <w:tc>
          <w:tcPr>
            <w:tcW w:type="dxa" w:w="22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Module admin</w:t>
            </w:r>
          </w:p>
        </w:tc>
        <w:tc>
          <w:tcPr>
            <w:tcW w:type="dxa" w:w="30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Objet</w:t>
            </w:r>
          </w:p>
        </w:tc>
        <w:tc>
          <w:tcPr>
            <w:tcW w:type="dxa" w:w="41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Points de vigilance</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Sources de données</w:t>
            </w:r>
          </w:p>
        </w:tc>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DataSourceCrudController</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Le formulaire adapte les champs au sourceType ; la validation impose URL WMS/WFS, URL ou carte liée pour cartography_link, filePath pour data_file.</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Catégories</w:t>
            </w:r>
          </w:p>
        </w:tc>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DataCategoryCrudController</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Les catégories publiées alimentent les filtres, compteurs et mises en avant.</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Thèmes cartothèque</w:t>
            </w:r>
          </w:p>
        </w:tc>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MapThemeCrudController / TaxonomyTerm</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La taxonomie map_theme doit rester cohérente entre sources et cartes.</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Cartes statiques</w:t>
            </w:r>
          </w:p>
        </w:tc>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StaticMapCrudController</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Les assets et datasets associés sont structurants même si le CRUD visible reste simple.</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Homepage</w:t>
            </w:r>
          </w:p>
        </w:tc>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HomepageBuilderController et entités Homepage*</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Sections ordonnées, configurables et publiées.</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Demandes</w:t>
            </w:r>
          </w:p>
        </w:tc>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AgentRequestCrudController, ExternalResourceRequestCrudController</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Suivi des demandes internes et externes.</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Utilisateurs</w:t>
            </w:r>
          </w:p>
        </w:tc>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UserCrudController</w:t>
            </w:r>
          </w:p>
        </w:tc>
        <w:tc>
          <w:tcPr>
            <w:tcW w:type="dxa" w:w="4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Gestion locale/SSO, activation et rôles.</w:t>
            </w:r>
          </w:p>
        </w:tc>
      </w:tr>
    </w:tbl>
    <w:p/>
    <w:p>
      <w:pPr>
        <w:pStyle w:val="Heading1"/>
        <w:keepNext/>
      </w:pPr>
      <w:r>
        <w:t>12. Exploitation, Configuration Et Supervision</w:t>
      </w:r>
    </w:p>
    <w:p>
      <w:pPr>
        <w:pStyle w:val="Heading2"/>
        <w:keepNext/>
      </w:pPr>
      <w:r>
        <w:t>12.1 Variables d'environnement structurantes</w:t>
      </w:r>
    </w:p>
    <w:tbl>
      <w:tblPr>
        <w:tblStyle w:val="TableGrid"/>
        <w:tblW w:type="dxa" w:w="9360"/>
        <w:jc w:val="left"/>
        <w:tblLayout w:type="fixed"/>
        <w:tblLook w:firstColumn="1" w:firstRow="1" w:lastColumn="0" w:lastRow="0" w:noHBand="0" w:noVBand="1" w:val="04A0"/>
        <w:tblInd w:w="0" w:type="dxa"/>
      </w:tblPr>
      <w:tblGrid>
        <w:gridCol w:w="3000"/>
        <w:gridCol w:w="3100"/>
        <w:gridCol w:w="3260"/>
      </w:tblGrid>
      <w:tr>
        <w:trPr>
          <w:cantSplit/>
          <w:tblHeader w:val="true"/>
        </w:trPr>
        <w:tc>
          <w:tcPr>
            <w:tcW w:type="dxa" w:w="30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Variable</w:t>
            </w:r>
          </w:p>
        </w:tc>
        <w:tc>
          <w:tcPr>
            <w:tcW w:type="dxa" w:w="31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Usage</w:t>
            </w:r>
          </w:p>
        </w:tc>
        <w:tc>
          <w:tcPr>
            <w:tcW w:type="dxa" w:w="32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Exigence d'environnement</w:t>
            </w:r>
          </w:p>
        </w:tc>
      </w:tr>
      <w:tr>
        <w:trPr>
          <w:cantSplit/>
        </w:trPr>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DATABASE_URL</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Connexion PostgreSQL 16/PostGIS.</w:t>
            </w:r>
          </w:p>
        </w:tc>
        <w:tc>
          <w:tcPr>
            <w:tcW w:type="dxa" w:w="32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Secret par environnement ; pas de valeur par défaut en production.</w:t>
            </w:r>
          </w:p>
        </w:tc>
      </w:tr>
      <w:tr>
        <w:trPr>
          <w:cantSplit/>
        </w:trPr>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MAILER_DSN</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Envoi de mails d'inscription/confirmation.</w:t>
            </w:r>
          </w:p>
        </w:tc>
        <w:tc>
          <w:tcPr>
            <w:tcW w:type="dxa" w:w="32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Configurer SMTP réel en recette/prod.</w:t>
            </w:r>
          </w:p>
        </w:tc>
      </w:tr>
      <w:tr>
        <w:trPr>
          <w:cantSplit/>
        </w:trPr>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APP_COOKIE_CONSENT_ENABLED</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Gestion du consentement cookies.</w:t>
            </w:r>
          </w:p>
        </w:tc>
        <w:tc>
          <w:tcPr>
            <w:tcW w:type="dxa" w:w="32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Aligner avec politique cookies et Matomo.</w:t>
            </w:r>
          </w:p>
        </w:tc>
      </w:tr>
      <w:tr>
        <w:trPr>
          <w:cantSplit/>
        </w:trPr>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APP_UPLOAD_MAX_SIZE_MB</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Taille max de téléversement.</w:t>
            </w:r>
          </w:p>
        </w:tc>
        <w:tc>
          <w:tcPr>
            <w:tcW w:type="dxa" w:w="32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Dimensionner selon pièces jointes agents et fichiers source.</w:t>
            </w:r>
          </w:p>
        </w:tc>
      </w:tr>
      <w:tr>
        <w:trPr>
          <w:cantSplit/>
        </w:trPr>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APP_MATOMO_ENABLED / SITE_ID / BASE_URL</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Analytics.</w:t>
            </w:r>
          </w:p>
        </w:tc>
        <w:tc>
          <w:tcPr>
            <w:tcW w:type="dxa" w:w="32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Déclarer la CSP et le consentement associés.</w:t>
            </w:r>
          </w:p>
        </w:tc>
      </w:tr>
      <w:tr>
        <w:trPr>
          <w:cantSplit/>
        </w:trPr>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MAP_BASEMAP_TILES_URL</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URL des tuiles raster du fond de carte.</w:t>
            </w:r>
          </w:p>
        </w:tc>
        <w:tc>
          <w:tcPr>
            <w:tcW w:type="dxa" w:w="32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HTTPS, disponibilité et conformité licence.</w:t>
            </w:r>
          </w:p>
        </w:tc>
      </w:tr>
      <w:tr>
        <w:trPr>
          <w:cantSplit/>
        </w:trPr>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MAP_BASEMAP_ATTRIBUTION</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Attribution affichée sur la carte.</w:t>
            </w:r>
          </w:p>
        </w:tc>
        <w:tc>
          <w:tcPr>
            <w:tcW w:type="dxa" w:w="32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Obligatoire pour fonds tiers.</w:t>
            </w:r>
          </w:p>
        </w:tc>
      </w:tr>
      <w:tr>
        <w:trPr>
          <w:cantSplit/>
        </w:trPr>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APP_SSO_O365_*</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Configuration Entra ID.</w:t>
            </w:r>
          </w:p>
        </w:tc>
        <w:tc>
          <w:tcPr>
            <w:tcW w:type="dxa" w:w="32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Secrets hors dépôt, mapping de rôles validé avec le lot IAM.</w:t>
            </w:r>
          </w:p>
        </w:tc>
      </w:tr>
      <w:tr>
        <w:trPr>
          <w:cantSplit/>
        </w:trPr>
        <w:tc>
          <w:tcPr>
            <w:tcW w:type="dxa" w:w="30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APP_SIRENE_*</w:t>
            </w:r>
          </w:p>
        </w:tc>
        <w:tc>
          <w:tcPr>
            <w:tcW w:type="dxa" w:w="3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Validation SIRET des comptes externes.</w:t>
            </w:r>
          </w:p>
        </w:tc>
        <w:tc>
          <w:tcPr>
            <w:tcW w:type="dxa" w:w="32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Token INSEE configuré ou parcours d'inscription bloqué.</w:t>
            </w:r>
          </w:p>
        </w:tc>
      </w:tr>
    </w:tbl>
    <w:p/>
    <w:p>
      <w:pPr>
        <w:pStyle w:val="Heading2"/>
        <w:keepNext/>
      </w:pPr>
      <w:r>
        <w:t>12.2 Journalisation et audit</w:t>
      </w:r>
    </w:p>
    <w:p>
      <w:pPr>
        <w:pStyle w:val="ListBullet"/>
        <w:spacing w:after="100"/>
        <w:ind w:left="720" w:hanging="360"/>
      </w:pPr>
      <w:r>
        <w:rPr>
          <w:rFonts w:ascii="Arial" w:hAnsi="Arial"/>
          <w:color w:val="1F2933"/>
          <w:sz w:val="21"/>
        </w:rPr>
        <w:t>AuditLogger journalise les événements sensibles : création de demande agent, changement de mot de passe, étapes SSO.</w:t>
      </w:r>
    </w:p>
    <w:p>
      <w:pPr>
        <w:pStyle w:val="ListBullet"/>
        <w:spacing w:after="100"/>
        <w:ind w:left="720" w:hanging="360"/>
      </w:pPr>
      <w:r>
        <w:rPr>
          <w:rFonts w:ascii="Arial" w:hAnsi="Arial"/>
          <w:color w:val="1F2933"/>
          <w:sz w:val="21"/>
        </w:rPr>
        <w:t>La table audit_log référence l'acteur quand disponible, l'action, le type de ressource, l'identifiant ressource, l'IP, le user-agent et le contexte JSON.</w:t>
      </w:r>
    </w:p>
    <w:p>
      <w:pPr>
        <w:pStyle w:val="ListBullet"/>
        <w:spacing w:after="100"/>
        <w:ind w:left="720" w:hanging="360"/>
      </w:pPr>
      <w:r>
        <w:rPr>
          <w:rFonts w:ascii="Arial" w:hAnsi="Arial"/>
          <w:color w:val="1F2933"/>
          <w:sz w:val="21"/>
        </w:rPr>
        <w:t>Les logs Symfony/Monolog doivent être collectés par l'exploitation, avec un canal audit séparé lorsque configuré.</w:t>
      </w:r>
    </w:p>
    <w:p>
      <w:pPr>
        <w:pStyle w:val="ListBullet"/>
        <w:spacing w:after="100"/>
        <w:ind w:left="720" w:hanging="360"/>
      </w:pPr>
      <w:r>
        <w:rPr>
          <w:rFonts w:ascii="Arial" w:hAnsi="Arial"/>
          <w:color w:val="1F2933"/>
          <w:sz w:val="21"/>
        </w:rPr>
        <w:t>Les autres lots doivent fournir des identifiants de corrélation lorsque des flux asynchrones ou synchronisations seront ajoutés.</w:t>
      </w:r>
    </w:p>
    <w:p>
      <w:pPr>
        <w:pStyle w:val="Heading2"/>
        <w:keepNext/>
      </w:pPr>
      <w:r>
        <w:t>12.3 Supervision SIG</w:t>
      </w:r>
    </w:p>
    <w:p>
      <w:pPr>
        <w:pStyle w:val="ListBullet"/>
        <w:spacing w:after="100"/>
        <w:ind w:left="720" w:hanging="360"/>
      </w:pPr>
      <w:r>
        <w:rPr>
          <w:rFonts w:ascii="Arial" w:hAnsi="Arial"/>
          <w:color w:val="1F2933"/>
          <w:sz w:val="21"/>
        </w:rPr>
        <w:t>La supervision applicative interroge les MapServiceEndpoint enabled via SigHealthcheckService.</w:t>
      </w:r>
    </w:p>
    <w:p>
      <w:pPr>
        <w:pStyle w:val="ListBullet"/>
        <w:spacing w:after="100"/>
        <w:ind w:left="720" w:hanging="360"/>
      </w:pPr>
      <w:r>
        <w:rPr>
          <w:rFonts w:ascii="Arial" w:hAnsi="Arial"/>
          <w:color w:val="1F2933"/>
          <w:sz w:val="21"/>
        </w:rPr>
        <w:t>L'API /api/sig/health expose la liste des services et un booléen degradedMode.</w:t>
      </w:r>
    </w:p>
    <w:p>
      <w:pPr>
        <w:pStyle w:val="ListBullet"/>
        <w:spacing w:after="100"/>
        <w:ind w:left="720" w:hanging="360"/>
      </w:pPr>
      <w:r>
        <w:rPr>
          <w:rFonts w:ascii="Arial" w:hAnsi="Arial"/>
          <w:color w:val="1F2933"/>
          <w:sz w:val="21"/>
        </w:rPr>
        <w:t>Le mode dégradé d'une carte interactive se déclenche si au moins un service healthcheck est indisponible.</w:t>
      </w:r>
    </w:p>
    <w:p>
      <w:pPr>
        <w:pStyle w:val="ListBullet"/>
        <w:spacing w:after="100"/>
        <w:ind w:left="720" w:hanging="360"/>
      </w:pPr>
      <w:r>
        <w:rPr>
          <w:rFonts w:ascii="Arial" w:hAnsi="Arial"/>
          <w:color w:val="1F2933"/>
          <w:sz w:val="21"/>
        </w:rPr>
        <w:t>Le provider réel devra retourner name, serviceType, available et message de manière stable pour l'UI et l'exploitation.</w:t>
      </w:r>
    </w:p>
    <w:p>
      <w:pPr>
        <w:pStyle w:val="Heading1"/>
        <w:keepNext/>
      </w:pPr>
      <w:r>
        <w:t>13. Cycle De Livraison Et Qualité</w:t>
      </w:r>
    </w:p>
    <w:p>
      <w:pPr>
        <w:pStyle w:val="ListBullet"/>
        <w:spacing w:after="100"/>
        <w:ind w:left="720" w:hanging="360"/>
      </w:pPr>
      <w:r>
        <w:rPr>
          <w:rFonts w:ascii="Arial" w:hAnsi="Arial"/>
          <w:color w:val="1F2933"/>
          <w:sz w:val="21"/>
        </w:rPr>
        <w:t>Les migrations Doctrine sont versionnées dans migrations et doivent accompagner tout changement d'entité persistée.</w:t>
      </w:r>
    </w:p>
    <w:p>
      <w:pPr>
        <w:pStyle w:val="ListBullet"/>
        <w:spacing w:after="100"/>
        <w:ind w:left="720" w:hanging="360"/>
      </w:pPr>
      <w:r>
        <w:rPr>
          <w:rFonts w:ascii="Arial" w:hAnsi="Arial"/>
          <w:color w:val="1F2933"/>
          <w:sz w:val="21"/>
        </w:rPr>
        <w:t>Les fixtures donnent un jeu de démonstration : rôles, utilisateurs, pages, sources, cartes, endpoints, catégories et demandes.</w:t>
      </w:r>
    </w:p>
    <w:p>
      <w:pPr>
        <w:pStyle w:val="ListBullet"/>
        <w:spacing w:after="100"/>
        <w:ind w:left="720" w:hanging="360"/>
      </w:pPr>
      <w:r>
        <w:rPr>
          <w:rFonts w:ascii="Arial" w:hAnsi="Arial"/>
          <w:color w:val="1F2933"/>
          <w:sz w:val="21"/>
        </w:rPr>
        <w:t>Les tests existants couvrent les pages publiques, critères de recherche, service de mock interactif et provider SIG mock.</w:t>
      </w:r>
    </w:p>
    <w:p>
      <w:pPr>
        <w:pStyle w:val="ListBullet"/>
        <w:spacing w:after="100"/>
        <w:ind w:left="720" w:hanging="360"/>
      </w:pPr>
      <w:r>
        <w:rPr>
          <w:rFonts w:ascii="Arial" w:hAnsi="Arial"/>
          <w:color w:val="1F2933"/>
          <w:sz w:val="21"/>
        </w:rPr>
        <w:t>Avant livraison d'un lot d'intégration : exécuter doctrine:schema:validate, migrations de recette, tests PHPUnit et tests manuels des parcours catalogue/carte/extranet/admin.</w:t>
      </w:r>
    </w:p>
    <w:p>
      <w:pPr>
        <w:pStyle w:val="ListBullet"/>
        <w:spacing w:after="100"/>
        <w:ind w:left="720" w:hanging="360"/>
      </w:pPr>
      <w:r>
        <w:rPr>
          <w:rFonts w:ascii="Arial" w:hAnsi="Arial"/>
          <w:color w:val="1F2933"/>
          <w:sz w:val="21"/>
        </w:rPr>
        <w:t>Toute nouvelle donnée publiée doit être testée sous les trois profils : visiteur public, externe enregistré et agent/admin.</w:t>
      </w:r>
    </w:p>
    <w:tbl>
      <w:tblPr>
        <w:tblStyle w:val="TableGrid"/>
        <w:tblW w:type="dxa" w:w="9360"/>
        <w:jc w:val="left"/>
        <w:tblLayout w:type="fixed"/>
        <w:tblLook w:firstColumn="1" w:firstRow="1" w:lastColumn="0" w:lastRow="0" w:noHBand="0" w:noVBand="1" w:val="04A0"/>
        <w:tblInd w:w="0" w:type="dxa"/>
      </w:tblPr>
      <w:tblGrid>
        <w:gridCol w:w="2100"/>
        <w:gridCol w:w="3300"/>
        <w:gridCol w:w="3960"/>
      </w:tblGrid>
      <w:tr>
        <w:trPr>
          <w:cantSplit/>
          <w:tblHeader w:val="true"/>
        </w:trPr>
        <w:tc>
          <w:tcPr>
            <w:tcW w:type="dxa" w:w="21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Contrôle</w:t>
            </w:r>
          </w:p>
        </w:tc>
        <w:tc>
          <w:tcPr>
            <w:tcW w:type="dxa" w:w="33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Commande / méthode</w:t>
            </w:r>
          </w:p>
        </w:tc>
        <w:tc>
          <w:tcPr>
            <w:tcW w:type="dxa" w:w="39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Attendu</w:t>
            </w:r>
          </w:p>
        </w:tc>
      </w:tr>
      <w:tr>
        <w:trPr>
          <w:cantSplit/>
        </w:trPr>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Schéma Doctrine</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php bin/console doctrine:schema:validate</w:t>
            </w:r>
          </w:p>
        </w:tc>
        <w:tc>
          <w:tcPr>
            <w:tcW w:type="dxa" w:w="39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Mapping valide et base synchronisée après migrations.</w:t>
            </w:r>
          </w:p>
        </w:tc>
      </w:tr>
      <w:tr>
        <w:trPr>
          <w:cantSplit/>
        </w:trPr>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Routes</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php bin/console debug:router --show-controllers</w:t>
            </w:r>
          </w:p>
        </w:tc>
        <w:tc>
          <w:tcPr>
            <w:tcW w:type="dxa" w:w="39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Surfaces HTTP connues et contrôles d'accès vérifiés.</w:t>
            </w:r>
          </w:p>
        </w:tc>
      </w:tr>
      <w:tr>
        <w:trPr>
          <w:cantSplit/>
        </w:trPr>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Tests</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php bin/phpunit</w:t>
            </w:r>
          </w:p>
        </w:tc>
        <w:tc>
          <w:tcPr>
            <w:tcW w:type="dxa" w:w="39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Non-régression fonctionnelle et applicative.</w:t>
            </w:r>
          </w:p>
        </w:tc>
      </w:tr>
      <w:tr>
        <w:trPr>
          <w:cantSplit/>
        </w:trPr>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Source publique</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Consultation fiche + action principale</w:t>
            </w:r>
          </w:p>
        </w:tc>
        <w:tc>
          <w:tcPr>
            <w:tcW w:type="dxa" w:w="39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Aucun lien localhost/.local, fichier disponible, statut publié.</w:t>
            </w:r>
          </w:p>
        </w:tc>
      </w:tr>
      <w:tr>
        <w:trPr>
          <w:cantSplit/>
        </w:trPr>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Carte interactive</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bootstrap/features/legend/feature-info</w:t>
            </w:r>
          </w:p>
        </w:tc>
        <w:tc>
          <w:tcPr>
            <w:tcW w:type="dxa" w:w="39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JSON valide, contrôles de visibilité, mode dégradé si service KO.</w:t>
            </w:r>
          </w:p>
        </w:tc>
      </w:tr>
      <w:tr>
        <w:trPr>
          <w:cantSplit/>
        </w:trPr>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SSO</w:t>
            </w:r>
          </w:p>
        </w:tc>
        <w:tc>
          <w:tcPr>
            <w:tcW w:type="dxa" w:w="33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Connexion Entra ID recette</w:t>
            </w:r>
          </w:p>
        </w:tc>
        <w:tc>
          <w:tcPr>
            <w:tcW w:type="dxa" w:w="39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state/nonce OK, mapping rôle, provisionnement et audit.</w:t>
            </w:r>
          </w:p>
        </w:tc>
      </w:tr>
    </w:tbl>
    <w:p/>
    <w:p>
      <w:pPr>
        <w:pStyle w:val="Heading1"/>
        <w:keepNext/>
      </w:pPr>
      <w:r>
        <w:t>14. Exigences Imposées Aux Autres Lots</w:t>
      </w:r>
    </w:p>
    <w:p>
      <w:pPr>
        <w:pStyle w:val="Heading2"/>
        <w:keepNext/>
      </w:pPr>
      <w:r>
        <w:t>14.1 Lot producteur de données</w:t>
      </w:r>
    </w:p>
    <w:p>
      <w:pPr>
        <w:pStyle w:val="ListBullet"/>
        <w:spacing w:after="100"/>
        <w:ind w:left="720" w:hanging="360"/>
      </w:pPr>
      <w:r>
        <w:rPr>
          <w:rFonts w:ascii="Arial" w:hAnsi="Arial"/>
          <w:color w:val="1F2933"/>
          <w:sz w:val="21"/>
        </w:rPr>
        <w:t>Livrer un bordereau de publication par ressource avec les champs du chapitre 7.1.</w:t>
      </w:r>
    </w:p>
    <w:p>
      <w:pPr>
        <w:pStyle w:val="ListBullet"/>
        <w:spacing w:after="100"/>
        <w:ind w:left="720" w:hanging="360"/>
      </w:pPr>
      <w:r>
        <w:rPr>
          <w:rFonts w:ascii="Arial" w:hAnsi="Arial"/>
          <w:color w:val="1F2933"/>
          <w:sz w:val="21"/>
        </w:rPr>
        <w:t>Livrer les fichiers dans un format accepté, en UTF-8, avec schéma de colonnes et dictionnaire d'attributs.</w:t>
      </w:r>
    </w:p>
    <w:p>
      <w:pPr>
        <w:pStyle w:val="ListBullet"/>
        <w:spacing w:after="100"/>
        <w:ind w:left="720" w:hanging="360"/>
      </w:pPr>
      <w:r>
        <w:rPr>
          <w:rFonts w:ascii="Arial" w:hAnsi="Arial"/>
          <w:color w:val="1F2933"/>
          <w:sz w:val="21"/>
        </w:rPr>
        <w:t>Déclarer le niveau de visibilité, la licence, le producteur, le contact métier et la fréquence de mise à jour.</w:t>
      </w:r>
    </w:p>
    <w:p>
      <w:pPr>
        <w:pStyle w:val="ListBullet"/>
        <w:spacing w:after="100"/>
        <w:ind w:left="720" w:hanging="360"/>
      </w:pPr>
      <w:r>
        <w:rPr>
          <w:rFonts w:ascii="Arial" w:hAnsi="Arial"/>
          <w:color w:val="1F2933"/>
          <w:sz w:val="21"/>
        </w:rPr>
        <w:t>Ne pas livrer d'URL localhost, .local ou environnement temporaire pour des ressources public/external.</w:t>
      </w:r>
    </w:p>
    <w:p>
      <w:pPr>
        <w:pStyle w:val="ListBullet"/>
        <w:spacing w:after="100"/>
        <w:ind w:left="720" w:hanging="360"/>
      </w:pPr>
      <w:r>
        <w:rPr>
          <w:rFonts w:ascii="Arial" w:hAnsi="Arial"/>
          <w:color w:val="1F2933"/>
          <w:sz w:val="21"/>
        </w:rPr>
        <w:t>Fournir un mécanisme de versionnement : date, numéro de version ou identifiant de livraison.</w:t>
      </w:r>
    </w:p>
    <w:p>
      <w:pPr>
        <w:pStyle w:val="Heading2"/>
        <w:keepNext/>
      </w:pPr>
      <w:r>
        <w:t>14.2 Lot SIG / services cartographiques</w:t>
      </w:r>
    </w:p>
    <w:p>
      <w:pPr>
        <w:pStyle w:val="ListBullet"/>
        <w:spacing w:after="100"/>
        <w:ind w:left="720" w:hanging="360"/>
      </w:pPr>
      <w:r>
        <w:rPr>
          <w:rFonts w:ascii="Arial" w:hAnsi="Arial"/>
          <w:color w:val="1F2933"/>
          <w:sz w:val="21"/>
        </w:rPr>
        <w:t>Publier les endpoints WMS/WFS en HTTPS avec GetCapabilities et noms de couches stables.</w:t>
      </w:r>
    </w:p>
    <w:p>
      <w:pPr>
        <w:pStyle w:val="ListBullet"/>
        <w:spacing w:after="100"/>
        <w:ind w:left="720" w:hanging="360"/>
      </w:pPr>
      <w:r>
        <w:rPr>
          <w:rFonts w:ascii="Arial" w:hAnsi="Arial"/>
          <w:color w:val="1F2933"/>
          <w:sz w:val="21"/>
        </w:rPr>
        <w:t>Fournir pour chaque couche : nom technique, libellé, type géométrique, emprise, EPSG, style par défaut, champs filtrables, légende et disponibilité attendue.</w:t>
      </w:r>
    </w:p>
    <w:p>
      <w:pPr>
        <w:pStyle w:val="ListBullet"/>
        <w:spacing w:after="100"/>
        <w:ind w:left="720" w:hanging="360"/>
      </w:pPr>
      <w:r>
        <w:rPr>
          <w:rFonts w:ascii="Arial" w:hAnsi="Arial"/>
          <w:color w:val="1F2933"/>
          <w:sz w:val="21"/>
        </w:rPr>
        <w:t>Prévoir une URL de healthcheck ou un test léger exploitable par le futur MapServiceProvider réel.</w:t>
      </w:r>
    </w:p>
    <w:p>
      <w:pPr>
        <w:pStyle w:val="ListBullet"/>
        <w:spacing w:after="100"/>
        <w:ind w:left="720" w:hanging="360"/>
      </w:pPr>
      <w:r>
        <w:rPr>
          <w:rFonts w:ascii="Arial" w:hAnsi="Arial"/>
          <w:color w:val="1F2933"/>
          <w:sz w:val="21"/>
        </w:rPr>
        <w:t>Documenter les contraintes d'authentification : none, basic, bearer, proxy, IP allowlist, avec credentialsRef et non secret en clair.</w:t>
      </w:r>
    </w:p>
    <w:p>
      <w:pPr>
        <w:pStyle w:val="ListBullet"/>
        <w:spacing w:after="100"/>
        <w:ind w:left="720" w:hanging="360"/>
      </w:pPr>
      <w:r>
        <w:rPr>
          <w:rFonts w:ascii="Arial" w:hAnsi="Arial"/>
          <w:color w:val="1F2933"/>
          <w:sz w:val="21"/>
        </w:rPr>
        <w:t>Garantir les performances : timeout cible inférieur ou égal à la valeur configurée, pagination ou limitation pour les gros WFS.</w:t>
      </w:r>
    </w:p>
    <w:p>
      <w:pPr>
        <w:pStyle w:val="Heading2"/>
        <w:keepNext/>
      </w:pPr>
      <w:r>
        <w:t>14.3 Lot identité / IAM</w:t>
      </w:r>
    </w:p>
    <w:p>
      <w:pPr>
        <w:pStyle w:val="ListBullet"/>
        <w:spacing w:after="100"/>
        <w:ind w:left="720" w:hanging="360"/>
      </w:pPr>
      <w:r>
        <w:rPr>
          <w:rFonts w:ascii="Arial" w:hAnsi="Arial"/>
          <w:color w:val="1F2933"/>
          <w:sz w:val="21"/>
        </w:rPr>
        <w:t>Fournir tenant ID, client ID, secret géré hors dépôt, redirect URI et claims nécessaires.</w:t>
      </w:r>
    </w:p>
    <w:p>
      <w:pPr>
        <w:pStyle w:val="ListBullet"/>
        <w:spacing w:after="100"/>
        <w:ind w:left="720" w:hanging="360"/>
      </w:pPr>
      <w:r>
        <w:rPr>
          <w:rFonts w:ascii="Arial" w:hAnsi="Arial"/>
          <w:color w:val="1F2933"/>
          <w:sz w:val="21"/>
        </w:rPr>
        <w:t>Aligner la claim de rôle APP_SSO_O365_ROLE_CLAIM avec le mapping APP_SSO_O365_ROLE_MAP.</w:t>
      </w:r>
    </w:p>
    <w:p>
      <w:pPr>
        <w:pStyle w:val="ListBullet"/>
        <w:spacing w:after="100"/>
        <w:ind w:left="720" w:hanging="360"/>
      </w:pPr>
      <w:r>
        <w:rPr>
          <w:rFonts w:ascii="Arial" w:hAnsi="Arial"/>
          <w:color w:val="1F2933"/>
          <w:sz w:val="21"/>
        </w:rPr>
        <w:t>Valider les rôles externes SIG_ADMIN, SIG_MANAGER, SIG_AGENT ou fournir le mapping final.</w:t>
      </w:r>
    </w:p>
    <w:p>
      <w:pPr>
        <w:pStyle w:val="ListBullet"/>
        <w:spacing w:after="100"/>
        <w:ind w:left="720" w:hanging="360"/>
      </w:pPr>
      <w:r>
        <w:rPr>
          <w:rFonts w:ascii="Arial" w:hAnsi="Arial"/>
          <w:color w:val="1F2933"/>
          <w:sz w:val="21"/>
        </w:rPr>
        <w:t>Tester les cas refusés : rôle manquant, rôle non mappé, tenant non autorisé, token expiré.</w:t>
      </w:r>
    </w:p>
    <w:p>
      <w:pPr>
        <w:pStyle w:val="ListBullet"/>
        <w:spacing w:after="100"/>
        <w:ind w:left="720" w:hanging="360"/>
      </w:pPr>
      <w:r>
        <w:rPr>
          <w:rFonts w:ascii="Arial" w:hAnsi="Arial"/>
          <w:color w:val="1F2933"/>
          <w:sz w:val="21"/>
        </w:rPr>
        <w:t>Définir le cycle de vie : désactivation, changement de rôle, départ utilisateur et réconciliation périodique.</w:t>
      </w:r>
    </w:p>
    <w:p>
      <w:pPr>
        <w:pStyle w:val="Heading2"/>
        <w:keepNext/>
      </w:pPr>
      <w:r>
        <w:t>14.4 Lot exploitation</w:t>
      </w:r>
    </w:p>
    <w:p>
      <w:pPr>
        <w:pStyle w:val="ListBullet"/>
        <w:spacing w:after="100"/>
        <w:ind w:left="720" w:hanging="360"/>
      </w:pPr>
      <w:r>
        <w:rPr>
          <w:rFonts w:ascii="Arial" w:hAnsi="Arial"/>
          <w:color w:val="1F2933"/>
          <w:sz w:val="21"/>
        </w:rPr>
        <w:t>Fournir PostgreSQL 16 avec PostGIS, sauvegardes, restauration testée et supervision de stockage.</w:t>
      </w:r>
    </w:p>
    <w:p>
      <w:pPr>
        <w:pStyle w:val="ListBullet"/>
        <w:spacing w:after="100"/>
        <w:ind w:left="720" w:hanging="360"/>
      </w:pPr>
      <w:r>
        <w:rPr>
          <w:rFonts w:ascii="Arial" w:hAnsi="Arial"/>
          <w:color w:val="1F2933"/>
          <w:sz w:val="21"/>
        </w:rPr>
        <w:t>Configurer SMTP, Matomo si activé, variables SSO, token SIRENE et secrets applicatifs par environnement.</w:t>
      </w:r>
    </w:p>
    <w:p>
      <w:pPr>
        <w:pStyle w:val="ListBullet"/>
        <w:spacing w:after="100"/>
        <w:ind w:left="720" w:hanging="360"/>
      </w:pPr>
      <w:r>
        <w:rPr>
          <w:rFonts w:ascii="Arial" w:hAnsi="Arial"/>
          <w:color w:val="1F2933"/>
          <w:sz w:val="21"/>
        </w:rPr>
        <w:t>Collecter logs applicatifs et audit, superviser /api/sig/health et erreurs HTTP.</w:t>
      </w:r>
    </w:p>
    <w:p>
      <w:pPr>
        <w:pStyle w:val="ListBullet"/>
        <w:spacing w:after="100"/>
        <w:ind w:left="720" w:hanging="360"/>
      </w:pPr>
      <w:r>
        <w:rPr>
          <w:rFonts w:ascii="Arial" w:hAnsi="Arial"/>
          <w:color w:val="1F2933"/>
          <w:sz w:val="21"/>
        </w:rPr>
        <w:t>Définir une procédure de publication des fichiers sous public/files ou stockage équivalent sécurisé.</w:t>
      </w:r>
    </w:p>
    <w:p>
      <w:pPr>
        <w:pStyle w:val="ListBullet"/>
        <w:spacing w:after="100"/>
        <w:ind w:left="720" w:hanging="360"/>
      </w:pPr>
      <w:r>
        <w:rPr>
          <w:rFonts w:ascii="Arial" w:hAnsi="Arial"/>
          <w:color w:val="1F2933"/>
          <w:sz w:val="21"/>
        </w:rPr>
        <w:t>Valider la CSP dès qu'un domaine externe est ajouté pour tuiles, analytics, API ou assets.</w:t>
      </w:r>
    </w:p>
    <w:p>
      <w:pPr>
        <w:pStyle w:val="Heading2"/>
        <w:keepNext/>
      </w:pPr>
      <w:r>
        <w:t>14.5 Lot recette / qualité</w:t>
      </w:r>
    </w:p>
    <w:p>
      <w:pPr>
        <w:pStyle w:val="ListBullet"/>
        <w:spacing w:after="100"/>
        <w:ind w:left="720" w:hanging="360"/>
      </w:pPr>
      <w:r>
        <w:rPr>
          <w:rFonts w:ascii="Arial" w:hAnsi="Arial"/>
          <w:color w:val="1F2933"/>
          <w:sz w:val="21"/>
        </w:rPr>
        <w:t>Préparer jeux d'essai couvrant chaque type de source et chaque visibilité.</w:t>
      </w:r>
    </w:p>
    <w:p>
      <w:pPr>
        <w:pStyle w:val="ListBullet"/>
        <w:spacing w:after="100"/>
        <w:ind w:left="720" w:hanging="360"/>
      </w:pPr>
      <w:r>
        <w:rPr>
          <w:rFonts w:ascii="Arial" w:hAnsi="Arial"/>
          <w:color w:val="1F2933"/>
          <w:sz w:val="21"/>
        </w:rPr>
        <w:t>Vérifier que les filtres catalogue par type, thème et catégorie restent cohérents avec les compteurs.</w:t>
      </w:r>
    </w:p>
    <w:p>
      <w:pPr>
        <w:pStyle w:val="ListBullet"/>
        <w:spacing w:after="100"/>
        <w:ind w:left="720" w:hanging="360"/>
      </w:pPr>
      <w:r>
        <w:rPr>
          <w:rFonts w:ascii="Arial" w:hAnsi="Arial"/>
          <w:color w:val="1F2933"/>
          <w:sz w:val="21"/>
        </w:rPr>
        <w:t>Tester la non-régression des parcours AJAX avec fallback serveur.</w:t>
      </w:r>
    </w:p>
    <w:p>
      <w:pPr>
        <w:pStyle w:val="ListBullet"/>
        <w:spacing w:after="100"/>
        <w:ind w:left="720" w:hanging="360"/>
      </w:pPr>
      <w:r>
        <w:rPr>
          <w:rFonts w:ascii="Arial" w:hAnsi="Arial"/>
          <w:color w:val="1F2933"/>
          <w:sz w:val="21"/>
        </w:rPr>
        <w:t>Vérifier les téléchargements /files et l'absence de fuite de ressources internal vers public/external.</w:t>
      </w:r>
    </w:p>
    <w:p>
      <w:pPr>
        <w:pStyle w:val="ListBullet"/>
        <w:spacing w:after="100"/>
        <w:ind w:left="720" w:hanging="360"/>
      </w:pPr>
      <w:r>
        <w:rPr>
          <w:rFonts w:ascii="Arial" w:hAnsi="Arial"/>
          <w:color w:val="1F2933"/>
          <w:sz w:val="21"/>
        </w:rPr>
        <w:t>Tester la carte interactive en service nominal et mode dégradé.</w:t>
      </w:r>
    </w:p>
    <w:p>
      <w:pPr>
        <w:pStyle w:val="Heading1"/>
        <w:keepNext/>
      </w:pPr>
      <w:r>
        <w:t>15. Annexes</w:t>
      </w:r>
    </w:p>
    <w:p>
      <w:pPr>
        <w:pStyle w:val="Heading2"/>
        <w:keepNext/>
      </w:pPr>
      <w:r>
        <w:t>15.1 Gabarit de bordereau source de données</w:t>
      </w:r>
    </w:p>
    <w:tbl>
      <w:tblPr>
        <w:tblStyle w:val="TableGrid"/>
        <w:tblW w:type="dxa" w:w="9360"/>
        <w:jc w:val="left"/>
        <w:tblLayout w:type="fixed"/>
        <w:tblLook w:firstColumn="1" w:firstRow="1" w:lastColumn="0" w:lastRow="0" w:noHBand="0" w:noVBand="1" w:val="04A0"/>
        <w:tblInd w:w="0" w:type="dxa"/>
      </w:tblPr>
      <w:tblGrid>
        <w:gridCol w:w="2200"/>
        <w:gridCol w:w="7160"/>
      </w:tblGrid>
      <w:tr>
        <w:trPr>
          <w:cantSplit/>
          <w:tblHeader w:val="true"/>
        </w:trPr>
        <w:tc>
          <w:tcPr>
            <w:tcW w:type="dxa" w:w="22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Rubrique</w:t>
            </w:r>
          </w:p>
        </w:tc>
        <w:tc>
          <w:tcPr>
            <w:tcW w:type="dxa" w:w="71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Valeur à fournir</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Identifiant</w:t>
            </w:r>
          </w:p>
        </w:tc>
        <w:tc>
          <w:tcPr>
            <w:tcW w:type="dxa" w:w="7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slug stable, identifiant métier source, version de livraison.</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Description</w:t>
            </w:r>
          </w:p>
        </w:tc>
        <w:tc>
          <w:tcPr>
            <w:tcW w:type="dxa" w:w="7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title, summary, description, thème, catégories, mots-clés.</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Accès</w:t>
            </w:r>
          </w:p>
        </w:tc>
        <w:tc>
          <w:tcPr>
            <w:tcW w:type="dxa" w:w="7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sourceType, format, filePath ou sourceUrl, endpoint, carte liée si applicable.</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Visibilité</w:t>
            </w:r>
          </w:p>
        </w:tc>
        <w:tc>
          <w:tcPr>
            <w:tcW w:type="dxa" w:w="7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public / external / internal, justification et éventuelles restrictions.</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Qualité</w:t>
            </w:r>
          </w:p>
        </w:tc>
        <w:tc>
          <w:tcPr>
            <w:tcW w:type="dxa" w:w="7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producteur, méthode, date de production, date de validité, précision, limites.</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Juridique</w:t>
            </w:r>
          </w:p>
        </w:tc>
        <w:tc>
          <w:tcPr>
            <w:tcW w:type="dxa" w:w="7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licence, conditions de réutilisation, données personnelles éventuelles.</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Technique SIG</w:t>
            </w:r>
          </w:p>
        </w:tc>
        <w:tc>
          <w:tcPr>
            <w:tcW w:type="dxa" w:w="7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EPSG, géométrie, attributs, emprise, style, filtres, légende.</w:t>
            </w:r>
          </w:p>
        </w:tc>
      </w:tr>
      <w:tr>
        <w:trPr>
          <w:cantSplit/>
        </w:trPr>
        <w:tc>
          <w:tcPr>
            <w:tcW w:type="dxa" w:w="22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Exploitation</w:t>
            </w:r>
          </w:p>
        </w:tc>
        <w:tc>
          <w:tcPr>
            <w:tcW w:type="dxa" w:w="71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fréquence de mise à jour, SLA, contact, dépendances, procédure de retrait.</w:t>
            </w:r>
          </w:p>
        </w:tc>
      </w:tr>
    </w:tbl>
    <w:p/>
    <w:p>
      <w:pPr>
        <w:pStyle w:val="Heading2"/>
        <w:keepNext/>
      </w:pPr>
      <w:r>
        <w:t>15.2 Checklist de publication</w:t>
      </w:r>
    </w:p>
    <w:p>
      <w:pPr>
        <w:pStyle w:val="ListNumber"/>
        <w:spacing w:after="100"/>
        <w:ind w:left="720" w:hanging="360"/>
      </w:pPr>
      <w:r>
        <w:rPr>
          <w:rFonts w:ascii="Arial" w:hAnsi="Arial"/>
          <w:sz w:val="21"/>
        </w:rPr>
        <w:t>Créer ou valider la catégorie et le thème cartothèque.</w:t>
      </w:r>
    </w:p>
    <w:p>
      <w:pPr>
        <w:pStyle w:val="ListNumber"/>
        <w:spacing w:after="100"/>
        <w:ind w:left="720" w:hanging="360"/>
      </w:pPr>
      <w:r>
        <w:rPr>
          <w:rFonts w:ascii="Arial" w:hAnsi="Arial"/>
          <w:sz w:val="21"/>
        </w:rPr>
        <w:t>Déposer le fichier ou valider l'URL/service externe.</w:t>
      </w:r>
    </w:p>
    <w:p>
      <w:pPr>
        <w:pStyle w:val="ListNumber"/>
        <w:spacing w:after="100"/>
        <w:ind w:left="720" w:hanging="360"/>
      </w:pPr>
      <w:r>
        <w:rPr>
          <w:rFonts w:ascii="Arial" w:hAnsi="Arial"/>
          <w:sz w:val="21"/>
        </w:rPr>
        <w:t>Créer la DataSource avec sourceType, format, visibilité, licence et statut draft.</w:t>
      </w:r>
    </w:p>
    <w:p>
      <w:pPr>
        <w:pStyle w:val="ListNumber"/>
        <w:spacing w:after="100"/>
        <w:ind w:left="720" w:hanging="360"/>
      </w:pPr>
      <w:r>
        <w:rPr>
          <w:rFonts w:ascii="Arial" w:hAnsi="Arial"/>
          <w:sz w:val="21"/>
        </w:rPr>
        <w:t>Rattacher carte statique, carte interactive ou endpoint si nécessaire.</w:t>
      </w:r>
    </w:p>
    <w:p>
      <w:pPr>
        <w:pStyle w:val="ListNumber"/>
        <w:spacing w:after="100"/>
        <w:ind w:left="720" w:hanging="360"/>
      </w:pPr>
      <w:r>
        <w:rPr>
          <w:rFonts w:ascii="Arial" w:hAnsi="Arial"/>
          <w:sz w:val="21"/>
        </w:rPr>
        <w:t>Contrôler l'action principale de la fiche source.</w:t>
      </w:r>
    </w:p>
    <w:p>
      <w:pPr>
        <w:pStyle w:val="ListNumber"/>
        <w:spacing w:after="100"/>
        <w:ind w:left="720" w:hanging="360"/>
      </w:pPr>
      <w:r>
        <w:rPr>
          <w:rFonts w:ascii="Arial" w:hAnsi="Arial"/>
          <w:sz w:val="21"/>
        </w:rPr>
        <w:t>Passer en status=published et renseigner publishedAt.</w:t>
      </w:r>
    </w:p>
    <w:p>
      <w:pPr>
        <w:pStyle w:val="ListNumber"/>
        <w:spacing w:after="100"/>
        <w:ind w:left="720" w:hanging="360"/>
      </w:pPr>
      <w:r>
        <w:rPr>
          <w:rFonts w:ascii="Arial" w:hAnsi="Arial"/>
          <w:sz w:val="21"/>
        </w:rPr>
        <w:t>Tester la visibilité en public, externe et agent/admin.</w:t>
      </w:r>
    </w:p>
    <w:p>
      <w:pPr>
        <w:pStyle w:val="ListNumber"/>
        <w:spacing w:after="100"/>
        <w:ind w:left="720" w:hanging="360"/>
      </w:pPr>
      <w:r>
        <w:rPr>
          <w:rFonts w:ascii="Arial" w:hAnsi="Arial"/>
          <w:sz w:val="21"/>
        </w:rPr>
        <w:t>Archiver ou dépublier les anciennes versions si nécessaire.</w:t>
      </w:r>
    </w:p>
    <w:p>
      <w:pPr>
        <w:pStyle w:val="Heading2"/>
        <w:keepNext/>
      </w:pPr>
      <w:r>
        <w:t>15.3 Risques et points ouverts</w:t>
      </w:r>
    </w:p>
    <w:tbl>
      <w:tblPr>
        <w:tblStyle w:val="TableGrid"/>
        <w:tblW w:type="dxa" w:w="9360"/>
        <w:jc w:val="left"/>
        <w:tblLayout w:type="fixed"/>
        <w:tblLook w:firstColumn="1" w:firstRow="1" w:lastColumn="0" w:lastRow="0" w:noHBand="0" w:noVBand="1" w:val="04A0"/>
        <w:tblInd w:w="0" w:type="dxa"/>
      </w:tblPr>
      <w:tblGrid>
        <w:gridCol w:w="2100"/>
        <w:gridCol w:w="3760"/>
        <w:gridCol w:w="3500"/>
      </w:tblGrid>
      <w:tr>
        <w:trPr>
          <w:cantSplit/>
          <w:tblHeader w:val="true"/>
        </w:trPr>
        <w:tc>
          <w:tcPr>
            <w:tcW w:type="dxa" w:w="21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Sujet</w:t>
            </w:r>
          </w:p>
        </w:tc>
        <w:tc>
          <w:tcPr>
            <w:tcW w:type="dxa" w:w="376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Risque</w:t>
            </w:r>
          </w:p>
        </w:tc>
        <w:tc>
          <w:tcPr>
            <w:tcW w:type="dxa" w:w="3500"/>
            <w:vAlign w:val="center"/>
            <w:tcMar>
              <w:top w:w="90" w:type="dxa"/>
              <w:bottom w:w="90" w:type="dxa"/>
              <w:left w:w="120" w:type="dxa"/>
              <w:right w:w="120" w:type="dxa"/>
            </w:tcMar>
            <w:shd w:fill="EEF6FA"/>
          </w:tcPr>
          <w:p>
            <w:pPr>
              <w:spacing w:after="40" w:line="250" w:lineRule="auto"/>
              <w:jc w:val="left"/>
            </w:pPr>
            <w:r>
              <w:rPr>
                <w:rFonts w:ascii="Arial" w:hAnsi="Arial"/>
                <w:b/>
                <w:color w:val="0E5AA7"/>
                <w:sz w:val="18"/>
              </w:rPr>
            </w:r>
            <w:r>
              <w:rPr>
                <w:rFonts w:ascii="Arial" w:hAnsi="Arial"/>
                <w:b/>
                <w:color w:val="0E5AA7"/>
                <w:sz w:val="18"/>
              </w:rPr>
              <w:t>Action recommandée</w:t>
            </w:r>
          </w:p>
        </w:tc>
      </w:tr>
      <w:tr>
        <w:trPr>
          <w:cantSplit/>
        </w:trPr>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Provider SIG réel</w:t>
            </w:r>
          </w:p>
        </w:tc>
        <w:tc>
          <w:tcPr>
            <w:tcW w:type="dxa" w:w="3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Le provider mock ne valide pas encore les comportements des WMS/WFS de production.</w:t>
            </w:r>
          </w:p>
        </w:tc>
        <w:tc>
          <w:tcPr>
            <w:tcW w:type="dxa" w:w="3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Implémenter un provider réel dans Infrastructure et tester healthcheck, capabilities, timeouts.</w:t>
            </w:r>
          </w:p>
        </w:tc>
      </w:tr>
      <w:tr>
        <w:trPr>
          <w:cantSplit/>
        </w:trPr>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Validation des données</w:t>
            </w:r>
          </w:p>
        </w:tc>
        <w:tc>
          <w:tcPr>
            <w:tcW w:type="dxa" w:w="3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Les fichiers sont référencés mais pas contrôlés exhaustivement côté application.</w:t>
            </w:r>
          </w:p>
        </w:tc>
        <w:tc>
          <w:tcPr>
            <w:tcW w:type="dxa" w:w="3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Ajouter une étape d'audit de fichier avant publication ou un pipeline d'ingestion.</w:t>
            </w:r>
          </w:p>
        </w:tc>
      </w:tr>
      <w:tr>
        <w:trPr>
          <w:cantSplit/>
        </w:trPr>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Secrets endpoints</w:t>
            </w:r>
          </w:p>
        </w:tc>
        <w:tc>
          <w:tcPr>
            <w:tcW w:type="dxa" w:w="3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credentialsRef existe mais la stratégie de coffre n'est pas codée.</w:t>
            </w:r>
          </w:p>
        </w:tc>
        <w:tc>
          <w:tcPr>
            <w:tcW w:type="dxa" w:w="3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Brancher un gestionnaire de secrets ou une configuration chiffrée côté exploitation.</w:t>
            </w:r>
          </w:p>
        </w:tc>
      </w:tr>
      <w:tr>
        <w:trPr>
          <w:cantSplit/>
        </w:trPr>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CSP</w:t>
            </w:r>
          </w:p>
        </w:tc>
        <w:tc>
          <w:tcPr>
            <w:tcW w:type="dxa" w:w="3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Tout nouveau domaine externe peut casser l'affichage si non déclaré.</w:t>
            </w:r>
          </w:p>
        </w:tc>
        <w:tc>
          <w:tcPr>
            <w:tcW w:type="dxa" w:w="3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Maintenir une matrice domaines / usages / CSP par environnement.</w:t>
            </w:r>
          </w:p>
        </w:tc>
      </w:tr>
      <w:tr>
        <w:trPr>
          <w:cantSplit/>
        </w:trPr>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Scalabilité WFS</w:t>
            </w:r>
          </w:p>
        </w:tc>
        <w:tc>
          <w:tcPr>
            <w:tcW w:type="dxa" w:w="3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De gros FeatureCollections peuvent dégrader le navigateur.</w:t>
            </w:r>
          </w:p>
        </w:tc>
        <w:tc>
          <w:tcPr>
            <w:tcW w:type="dxa" w:w="3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Prévoir pagination, tuilage vectoriel, bbox ou simplification.</w:t>
            </w:r>
          </w:p>
        </w:tc>
      </w:tr>
      <w:tr>
        <w:trPr>
          <w:cantSplit/>
        </w:trPr>
        <w:tc>
          <w:tcPr>
            <w:tcW w:type="dxa" w:w="21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Fixtures</w:t>
            </w:r>
          </w:p>
        </w:tc>
        <w:tc>
          <w:tcPr>
            <w:tcW w:type="dxa" w:w="376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Certaines données de démo utilisent des domaines .local.</w:t>
            </w:r>
          </w:p>
        </w:tc>
        <w:tc>
          <w:tcPr>
            <w:tcW w:type="dxa" w:w="3500"/>
            <w:vAlign w:val="center"/>
            <w:tcMar>
              <w:top w:w="90" w:type="dxa"/>
              <w:bottom w:w="90" w:type="dxa"/>
              <w:left w:w="120" w:type="dxa"/>
              <w:right w:w="120" w:type="dxa"/>
            </w:tcMar>
          </w:tcPr>
          <w:p>
            <w:pPr>
              <w:spacing w:after="40" w:line="250" w:lineRule="auto"/>
              <w:jc w:val="left"/>
            </w:pPr>
            <w:r>
              <w:rPr>
                <w:rFonts w:ascii="Arial" w:hAnsi="Arial"/>
                <w:color w:val="1F2933"/>
                <w:sz w:val="18"/>
              </w:rPr>
            </w:r>
            <w:r>
              <w:rPr>
                <w:rFonts w:ascii="Arial" w:hAnsi="Arial"/>
                <w:b w:val="0"/>
                <w:color w:val="1F2933"/>
                <w:sz w:val="18"/>
              </w:rPr>
              <w:t>Ne jamais reprendre ces URLs en recette/prod pour des ressources publiques.</w:t>
            </w:r>
          </w:p>
        </w:tc>
      </w:tr>
    </w:tbl>
    <w:p/>
    <w:p>
      <w:pPr>
        <w:pStyle w:val="Heading2"/>
        <w:keepNext/>
      </w:pPr>
      <w:r>
        <w:t>15.4 Références source analysées</w:t>
      </w:r>
    </w:p>
    <w:p>
      <w:pPr>
        <w:pStyle w:val="ListBullet"/>
        <w:spacing w:after="100"/>
        <w:ind w:left="720" w:hanging="360"/>
      </w:pPr>
      <w:r>
        <w:rPr>
          <w:rFonts w:ascii="Arial" w:hAnsi="Arial"/>
          <w:color w:val="1F2933"/>
          <w:sz w:val="21"/>
        </w:rPr>
        <w:t>README.md et docs/ARCHITECTURE.md pour la vision technique initiale.</w:t>
      </w:r>
    </w:p>
    <w:p>
      <w:pPr>
        <w:pStyle w:val="ListBullet"/>
        <w:spacing w:after="100"/>
        <w:ind w:left="720" w:hanging="360"/>
      </w:pPr>
      <w:r>
        <w:rPr>
          <w:rFonts w:ascii="Arial" w:hAnsi="Arial"/>
          <w:color w:val="1F2933"/>
          <w:sz w:val="21"/>
        </w:rPr>
        <w:t>config/packages/security.yaml et config/services.yaml pour RBAC, SSO, paramètres et services.</w:t>
      </w:r>
    </w:p>
    <w:p>
      <w:pPr>
        <w:pStyle w:val="ListBullet"/>
        <w:spacing w:after="100"/>
        <w:ind w:left="720" w:hanging="360"/>
      </w:pPr>
      <w:r>
        <w:rPr>
          <w:rFonts w:ascii="Arial" w:hAnsi="Arial"/>
          <w:color w:val="1F2933"/>
          <w:sz w:val="21"/>
        </w:rPr>
        <w:t>src/Domain/Cartography/Entity/* pour le modèle de données cartographique.</w:t>
      </w:r>
    </w:p>
    <w:p>
      <w:pPr>
        <w:pStyle w:val="ListBullet"/>
        <w:spacing w:after="100"/>
        <w:ind w:left="720" w:hanging="360"/>
      </w:pPr>
      <w:r>
        <w:rPr>
          <w:rFonts w:ascii="Arial" w:hAnsi="Arial"/>
          <w:color w:val="1F2933"/>
          <w:sz w:val="21"/>
        </w:rPr>
        <w:t>src/UI/Controller/CartographyController.php, ExtranetController.php, AgentController.php, SecurityController.php pour les flux web.</w:t>
      </w:r>
    </w:p>
    <w:p>
      <w:pPr>
        <w:pStyle w:val="ListBullet"/>
        <w:spacing w:after="100"/>
        <w:ind w:left="720" w:hanging="360"/>
      </w:pPr>
      <w:r>
        <w:rPr>
          <w:rFonts w:ascii="Arial" w:hAnsi="Arial"/>
          <w:color w:val="1F2933"/>
          <w:sz w:val="21"/>
        </w:rPr>
        <w:t>src/UI/Api/* pour les API JSON.</w:t>
      </w:r>
    </w:p>
    <w:p>
      <w:pPr>
        <w:pStyle w:val="ListBullet"/>
        <w:spacing w:after="100"/>
        <w:ind w:left="720" w:hanging="360"/>
      </w:pPr>
      <w:r>
        <w:rPr>
          <w:rFonts w:ascii="Arial" w:hAnsi="Arial"/>
          <w:color w:val="1F2933"/>
          <w:sz w:val="21"/>
        </w:rPr>
        <w:t>src/Application/Cartography/Service/* et src/Application/Interop/Sig/* pour les services applicatifs et interop SIG.</w:t>
      </w:r>
    </w:p>
    <w:p>
      <w:pPr>
        <w:pStyle w:val="ListBullet"/>
        <w:spacing w:after="100"/>
        <w:ind w:left="720" w:hanging="360"/>
      </w:pPr>
      <w:r>
        <w:rPr>
          <w:rFonts w:ascii="Arial" w:hAnsi="Arial"/>
          <w:color w:val="1F2933"/>
          <w:sz w:val="21"/>
        </w:rPr>
        <w:t>migrations/* pour le schéma, index et relations.</w:t>
      </w:r>
    </w:p>
    <w:p>
      <w:pPr>
        <w:pStyle w:val="ListBullet"/>
        <w:spacing w:after="100"/>
        <w:ind w:left="720" w:hanging="360"/>
      </w:pPr>
      <w:r>
        <w:rPr>
          <w:rFonts w:ascii="Arial" w:hAnsi="Arial"/>
          <w:color w:val="1F2933"/>
          <w:sz w:val="21"/>
        </w:rPr>
        <w:t>src/DataFixtures/AppFixtures.php pour les données de démonstration et valeurs de référence.</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rial" w:hAnsi="Arial"/>
        <w:color w:val="6B7280"/>
        <w:sz w:val="18"/>
      </w:rPr>
      <w:fldChar w:fldCharType="begin"/>
      <w:instrText xml:space="preserve">PAGE</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D5DCE3"/>
      </w:pBdr>
    </w:pPr>
    <w:r>
      <w:rPr>
        <w:rFonts w:ascii="Arial" w:hAnsi="Arial"/>
        <w:color w:val="6B7280"/>
        <w:sz w:val="17"/>
      </w:rPr>
      <w:t>PF RDE - Dossier d'architecture détaillée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rial" w:hAnsi="Arial"/>
      <w:color w:val="1F293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00"/>
      <w:outlineLvl w:val="0"/>
    </w:pPr>
    <w:rPr>
      <w:rFonts w:asciiTheme="majorHAnsi" w:eastAsiaTheme="majorEastAsia" w:hAnsiTheme="majorHAnsi" w:cstheme="majorBidi" w:ascii="Arial" w:hAnsi="Arial"/>
      <w:b/>
      <w:bCs/>
      <w:color w:val="0E5AA7"/>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0E5AA7"/>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rial" w:hAnsi="Arial"/>
      <w:b/>
      <w:bCs/>
      <w:color w:val="1F293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rial" w:hAnsi="Arial"/>
      <w:b/>
      <w:color w:val="0E5AA7"/>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200" w:after="100"/>
    </w:pPr>
    <w:rPr>
      <w:rFonts w:asciiTheme="majorHAnsi" w:eastAsiaTheme="majorEastAsia" w:hAnsiTheme="majorHAnsi" w:cstheme="majorBidi" w:ascii="Arial" w:hAnsi="Arial"/>
      <w:b w:val="0"/>
      <w:i/>
      <w:iCs/>
      <w:color w:val="6B728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