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3B7C0E67" w:rsidR="001B162C" w:rsidRDefault="003E1388" w:rsidP="001B162C">
      <w:pPr>
        <w:pStyle w:val="ParagraphNormal"/>
      </w:pPr>
      <w:r>
        <w:t>Y</w:t>
      </w:r>
      <w:r>
        <w:t xml:space="preserve">ou </w:t>
      </w:r>
      <w:r>
        <w:t xml:space="preserve">meet </w:t>
      </w:r>
      <w:r w:rsidR="000B5E99" w:rsidRPr="000B5E99">
        <w:rPr>
          <w:rStyle w:val="Strong"/>
        </w:rPr>
        <w:t>The Broker</w:t>
      </w:r>
      <w:r w:rsidR="000B5E99">
        <w:t xml:space="preserve"> </w:t>
      </w:r>
      <w:r w:rsidR="00AE7B42">
        <w:t xml:space="preserve">in a dingy smoke room in </w:t>
      </w:r>
      <w:r w:rsidR="0079175E">
        <w:t xml:space="preserve">Charhollow. </w:t>
      </w:r>
      <w:r w:rsidR="00F93314">
        <w:t xml:space="preserve">Beneath her headscarf, you </w:t>
      </w:r>
      <w:r w:rsidR="00BA6256">
        <w:t xml:space="preserve">recognize </w:t>
      </w:r>
      <w:r w:rsidR="005A3A24">
        <w:t xml:space="preserve">sharp </w:t>
      </w:r>
      <w:r w:rsidR="00D85A6B">
        <w:t xml:space="preserve">Tycherosi </w:t>
      </w:r>
      <w:r w:rsidR="00253FA0">
        <w:t>features</w:t>
      </w:r>
      <w:r w:rsidR="00E73402">
        <w:t>.</w:t>
      </w:r>
      <w:r w:rsidR="00652FE7">
        <w:t xml:space="preserve"> </w:t>
      </w:r>
      <w:r w:rsidR="004000A7">
        <w:t xml:space="preserve">Setting aside </w:t>
      </w:r>
      <w:r w:rsidR="00C61B6E">
        <w:t>her slender smoking pipe</w:t>
      </w:r>
      <w:r w:rsidR="004000A7">
        <w:t>, she gestures</w:t>
      </w:r>
      <w:r w:rsidR="003D01B9">
        <w:t xml:space="preserve"> for you to </w:t>
      </w:r>
      <w:r w:rsidR="005A3DBB">
        <w:t>join her</w:t>
      </w:r>
      <w:r w:rsidR="003D01B9">
        <w:t>.</w:t>
      </w:r>
    </w:p>
    <w:p w14:paraId="00D368D7" w14:textId="47E87E73" w:rsidR="001B162C" w:rsidRDefault="001B162C" w:rsidP="0051589D">
      <w:pPr>
        <w:pStyle w:val="Quote"/>
        <w:spacing w:afterLines="0" w:after="120"/>
      </w:pPr>
      <w:r>
        <w:t>“</w:t>
      </w:r>
      <w:r w:rsidR="0016319F">
        <w:t xml:space="preserve">The </w:t>
      </w:r>
      <w:r w:rsidR="0016319F" w:rsidRPr="00DB5E5B">
        <w:rPr>
          <w:rStyle w:val="Strong"/>
        </w:rPr>
        <w:t>Billhooks</w:t>
      </w:r>
      <w:r w:rsidR="00114840">
        <w:t xml:space="preserve"> don’t shy from making enemies</w:t>
      </w:r>
      <w:r w:rsidR="00C62392">
        <w:t xml:space="preserve">. Extortion, </w:t>
      </w:r>
      <w:r w:rsidR="00FC5323">
        <w:t xml:space="preserve">murder, </w:t>
      </w:r>
      <w:r w:rsidR="00C62392">
        <w:t>blackmail</w:t>
      </w:r>
      <w:r w:rsidR="00712CCF">
        <w:t xml:space="preserve">, </w:t>
      </w:r>
      <w:r w:rsidR="00753131">
        <w:t xml:space="preserve">you get the idea. </w:t>
      </w:r>
      <w:r w:rsidR="002E1B64">
        <w:t xml:space="preserve">The </w:t>
      </w:r>
      <w:r w:rsidR="00753131">
        <w:t xml:space="preserve">gang </w:t>
      </w:r>
      <w:r w:rsidR="002E1B64">
        <w:t>ha</w:t>
      </w:r>
      <w:r w:rsidR="00753131">
        <w:t>s been a general pain</w:t>
      </w:r>
      <w:r w:rsidR="005A0F0B">
        <w:t xml:space="preserve"> to merchants and shopkeeps</w:t>
      </w:r>
      <w:r w:rsidR="00A539C0">
        <w:t xml:space="preserve">, but they’ve </w:t>
      </w:r>
      <w:r w:rsidR="00AF0CB1">
        <w:t>avoided</w:t>
      </w:r>
      <w:r w:rsidR="00A539C0">
        <w:t xml:space="preserve"> the bigger players</w:t>
      </w:r>
      <w:r w:rsidR="00AF0CB1">
        <w:t>, w</w:t>
      </w:r>
      <w:r w:rsidR="00A539C0">
        <w:t xml:space="preserve">ell, until </w:t>
      </w:r>
      <w:r w:rsidR="00E26643">
        <w:t>recently</w:t>
      </w:r>
      <w:r w:rsidR="00A539C0">
        <w:t xml:space="preserve">. </w:t>
      </w:r>
      <w:r w:rsidR="00D5346B">
        <w:t>Tarvul</w:t>
      </w:r>
      <w:r w:rsidR="00712CCF" w:rsidRPr="00032040">
        <w:t>—</w:t>
      </w:r>
      <w:r w:rsidR="00D5346B">
        <w:t>the</w:t>
      </w:r>
      <w:r w:rsidR="00A539C0">
        <w:t xml:space="preserve"> gang</w:t>
      </w:r>
      <w:r w:rsidR="00E2182D">
        <w:t>’s former leader</w:t>
      </w:r>
      <w:r w:rsidR="00712CCF" w:rsidRPr="00032040">
        <w:t>—</w:t>
      </w:r>
      <w:r w:rsidR="00A539C0">
        <w:t xml:space="preserve">is growing gray </w:t>
      </w:r>
      <w:r w:rsidR="00307534">
        <w:t xml:space="preserve">over in Ironhook </w:t>
      </w:r>
      <w:r w:rsidR="00BF5AFF">
        <w:t xml:space="preserve">where he’s </w:t>
      </w:r>
      <w:r w:rsidR="00A9126B">
        <w:t>serving a life sentence.</w:t>
      </w:r>
      <w:r w:rsidR="00692399">
        <w:t>”</w:t>
      </w:r>
    </w:p>
    <w:p w14:paraId="266A1CA3" w14:textId="3B695CBB" w:rsidR="00E9660B" w:rsidRPr="00DC29A7" w:rsidRDefault="00692399" w:rsidP="00924785">
      <w:pPr>
        <w:pStyle w:val="Quote"/>
        <w:spacing w:afterLines="0" w:after="200"/>
      </w:pPr>
      <w:r>
        <w:t xml:space="preserve">“Now his sister and son are running the show and they’re </w:t>
      </w:r>
      <w:r w:rsidR="00494894">
        <w:t>a lot</w:t>
      </w:r>
      <w:r w:rsidR="00EC75F9">
        <w:t xml:space="preserve"> </w:t>
      </w:r>
      <w:r w:rsidR="00E35693">
        <w:t xml:space="preserve">less cautious </w:t>
      </w:r>
      <w:r w:rsidR="00824F67">
        <w:t xml:space="preserve">than their </w:t>
      </w:r>
      <w:r w:rsidR="00885905">
        <w:t xml:space="preserve">imprisoned </w:t>
      </w:r>
      <w:r w:rsidR="00824F67">
        <w:t>kin</w:t>
      </w:r>
      <w:r w:rsidR="00494894">
        <w:t xml:space="preserve">. </w:t>
      </w:r>
      <w:r w:rsidR="00BB2DDD">
        <w:t xml:space="preserve">My </w:t>
      </w:r>
      <w:r w:rsidR="00D7727F">
        <w:t xml:space="preserve">contact </w:t>
      </w:r>
      <w:r w:rsidR="00BB2DDD">
        <w:t xml:space="preserve">wishes to neutralize </w:t>
      </w:r>
      <w:r w:rsidR="00586F8D">
        <w:t xml:space="preserve">a piece of </w:t>
      </w:r>
      <w:r w:rsidR="002C14D4">
        <w:t>leverage</w:t>
      </w:r>
      <w:r w:rsidR="00EC60DF">
        <w:t xml:space="preserve"> </w:t>
      </w:r>
      <w:r w:rsidR="002E049A">
        <w:t>the Billhooks</w:t>
      </w:r>
      <w:r w:rsidR="00EC60DF">
        <w:t xml:space="preserve"> hold</w:t>
      </w:r>
      <w:r w:rsidR="001C46A0">
        <w:t>:</w:t>
      </w:r>
      <w:r w:rsidR="00EC60DF">
        <w:t xml:space="preserve"> specifically</w:t>
      </w:r>
      <w:r w:rsidR="003F0AD9">
        <w:t>,</w:t>
      </w:r>
      <w:r w:rsidR="00EC60DF">
        <w:t xml:space="preserve"> a ledger comprising financial transactions of dubious legality.</w:t>
      </w:r>
      <w:r w:rsidR="00133884">
        <w:t xml:space="preserve"> </w:t>
      </w:r>
      <w:r w:rsidR="00B43ECD">
        <w:t>Pay is h</w:t>
      </w:r>
      <w:r w:rsidR="00F2497E">
        <w:t>alf up front, half when you r</w:t>
      </w:r>
      <w:r w:rsidR="00133884">
        <w:t xml:space="preserve">etrieve the ledger from </w:t>
      </w:r>
      <w:r w:rsidR="00CB6604">
        <w:t>the</w:t>
      </w:r>
      <w:r w:rsidR="00133884">
        <w:t xml:space="preserve"> </w:t>
      </w:r>
      <w:r w:rsidR="007735AD" w:rsidRPr="007735AD">
        <w:rPr>
          <w:rStyle w:val="Strong"/>
        </w:rPr>
        <w:t>S</w:t>
      </w:r>
      <w:r w:rsidR="00133884" w:rsidRPr="007735AD">
        <w:rPr>
          <w:rStyle w:val="Strong"/>
        </w:rPr>
        <w:t>laughterhouse</w:t>
      </w:r>
      <w:r w:rsidR="00133884">
        <w:t xml:space="preserve"> in Coalridge</w:t>
      </w:r>
      <w:r w:rsidR="00B2201F">
        <w:t>.</w:t>
      </w:r>
      <w:r w:rsidR="0090691C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2E4CD32" w:rsidR="000D236E" w:rsidRPr="00046372" w:rsidRDefault="005F3A44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</w:t>
            </w:r>
            <w:r w:rsidR="003F2439">
              <w:t xml:space="preserve">Billhooks slaughterhouse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DF1B52D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2F4AA29D" w:rsidR="00226CE7" w:rsidRPr="00E24E71" w:rsidRDefault="00E24E71" w:rsidP="008322D0">
            <w:pPr>
              <w:pStyle w:val="NoParagraphNormal"/>
              <w:rPr>
                <w:i/>
                <w:iCs/>
              </w:rPr>
            </w:pPr>
            <w:r w:rsidRPr="00E24E71">
              <w:rPr>
                <w:i/>
                <w:iCs/>
              </w:rPr>
              <w:t>“</w:t>
            </w:r>
            <w:r w:rsidRPr="00E24E71">
              <w:rPr>
                <w:i/>
                <w:iCs/>
              </w:rPr>
              <w:t xml:space="preserve">I don’t need to tell you to avoid capture. They’re called butchers for </w:t>
            </w:r>
            <w:r w:rsidR="00621F16">
              <w:rPr>
                <w:i/>
                <w:iCs/>
              </w:rPr>
              <w:t>a reason</w:t>
            </w:r>
            <w:r w:rsidRPr="00E24E71">
              <w:rPr>
                <w:i/>
                <w:iCs/>
              </w:rPr>
              <w:t>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lastRenderedPageBreak/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3E15A5">
            <w:pPr>
              <w:pStyle w:val="ParagraphNormal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C3186A">
            <w:pPr>
              <w:pStyle w:val="ParagraphNormal"/>
              <w:spacing w:after="0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2C4CB8">
                  <w:pPr>
                    <w:pStyle w:val="ParagraphNormal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BB5C33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1065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65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BB5C33" w:rsidP="002C4CB8">
                  <w:pPr>
                    <w:pStyle w:val="NoParagraphNormal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1067" type="#_x0000_t118" style="position:absolute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67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BB5C33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1069" type="#_x0000_t118" style="position:absolute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69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BB5C33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1068" type="#_x0000_t118" style="position:absolute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68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E871A1">
      <w:pPr>
        <w:pStyle w:val="ParagraphNormal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E871A1">
      <w:pPr>
        <w:pStyle w:val="ParagraphNormal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E871A1">
      <w:pPr>
        <w:pStyle w:val="NoParagraphNormal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2C065A">
                  <w:pPr>
                    <w:pStyle w:val="ParagraphNormal"/>
                    <w:spacing w:after="120" w:line="276" w:lineRule="auto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2C065A">
                  <w:pPr>
                    <w:pStyle w:val="ParagraphNormal"/>
                    <w:spacing w:after="120" w:line="276" w:lineRule="auto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1D88" w14:textId="77777777" w:rsidR="00BB5C33" w:rsidRDefault="00BB5C33" w:rsidP="00022E1F">
      <w:r>
        <w:separator/>
      </w:r>
    </w:p>
  </w:endnote>
  <w:endnote w:type="continuationSeparator" w:id="0">
    <w:p w14:paraId="0EAE4F31" w14:textId="77777777" w:rsidR="00BB5C33" w:rsidRDefault="00BB5C3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8280" w14:textId="77777777" w:rsidR="00BB5C33" w:rsidRDefault="00BB5C33" w:rsidP="00022E1F">
      <w:r>
        <w:separator/>
      </w:r>
    </w:p>
  </w:footnote>
  <w:footnote w:type="continuationSeparator" w:id="0">
    <w:p w14:paraId="02B0C088" w14:textId="77777777" w:rsidR="00BB5C33" w:rsidRDefault="00BB5C3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6D7D4A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621AF4C">
          <wp:simplePos x="0" y="0"/>
          <wp:positionH relativeFrom="column">
            <wp:posOffset>2967355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B73397">
      <w:rPr>
        <w:rStyle w:val="Strong"/>
      </w:rPr>
      <w:t>The Butcher’s Bill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36802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91233"/>
    <w:rsid w:val="00092214"/>
    <w:rsid w:val="000927E8"/>
    <w:rsid w:val="000941FD"/>
    <w:rsid w:val="000969E4"/>
    <w:rsid w:val="000A0FBD"/>
    <w:rsid w:val="000A2ABB"/>
    <w:rsid w:val="000A4374"/>
    <w:rsid w:val="000A4E72"/>
    <w:rsid w:val="000A5BCB"/>
    <w:rsid w:val="000B073D"/>
    <w:rsid w:val="000B0C9C"/>
    <w:rsid w:val="000B1863"/>
    <w:rsid w:val="000B46C5"/>
    <w:rsid w:val="000B4AF5"/>
    <w:rsid w:val="000B5E99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24AB"/>
    <w:rsid w:val="00112BAD"/>
    <w:rsid w:val="0011405B"/>
    <w:rsid w:val="001144DB"/>
    <w:rsid w:val="00114840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27B0F"/>
    <w:rsid w:val="001330A9"/>
    <w:rsid w:val="00133884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319F"/>
    <w:rsid w:val="00165B84"/>
    <w:rsid w:val="00165DC5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B017F"/>
    <w:rsid w:val="001B0920"/>
    <w:rsid w:val="001B162C"/>
    <w:rsid w:val="001B3412"/>
    <w:rsid w:val="001B3F98"/>
    <w:rsid w:val="001B7655"/>
    <w:rsid w:val="001C46A0"/>
    <w:rsid w:val="001C4E3A"/>
    <w:rsid w:val="001C5A21"/>
    <w:rsid w:val="001D1F8B"/>
    <w:rsid w:val="001D4B8A"/>
    <w:rsid w:val="001D53F1"/>
    <w:rsid w:val="001E332C"/>
    <w:rsid w:val="001E5004"/>
    <w:rsid w:val="001E54F7"/>
    <w:rsid w:val="001E58A4"/>
    <w:rsid w:val="001F3412"/>
    <w:rsid w:val="001F46FC"/>
    <w:rsid w:val="001F5015"/>
    <w:rsid w:val="001F65D6"/>
    <w:rsid w:val="001F7D02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26E4"/>
    <w:rsid w:val="002327BF"/>
    <w:rsid w:val="002410B7"/>
    <w:rsid w:val="00243BFB"/>
    <w:rsid w:val="00245C02"/>
    <w:rsid w:val="002469C7"/>
    <w:rsid w:val="00246A52"/>
    <w:rsid w:val="00251362"/>
    <w:rsid w:val="0025144D"/>
    <w:rsid w:val="002528BB"/>
    <w:rsid w:val="0025351E"/>
    <w:rsid w:val="00253FA0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965A6"/>
    <w:rsid w:val="002A1911"/>
    <w:rsid w:val="002A22D5"/>
    <w:rsid w:val="002A5B5E"/>
    <w:rsid w:val="002A6132"/>
    <w:rsid w:val="002A7B63"/>
    <w:rsid w:val="002B5705"/>
    <w:rsid w:val="002C065A"/>
    <w:rsid w:val="002C14D4"/>
    <w:rsid w:val="002C1B0D"/>
    <w:rsid w:val="002C4CB8"/>
    <w:rsid w:val="002C5192"/>
    <w:rsid w:val="002D2999"/>
    <w:rsid w:val="002D3949"/>
    <w:rsid w:val="002D3D73"/>
    <w:rsid w:val="002D4C27"/>
    <w:rsid w:val="002D7202"/>
    <w:rsid w:val="002E049A"/>
    <w:rsid w:val="002E1B64"/>
    <w:rsid w:val="002E2826"/>
    <w:rsid w:val="002E2BB2"/>
    <w:rsid w:val="002F082C"/>
    <w:rsid w:val="002F16A0"/>
    <w:rsid w:val="002F28E4"/>
    <w:rsid w:val="002F7CD4"/>
    <w:rsid w:val="00300C56"/>
    <w:rsid w:val="00307534"/>
    <w:rsid w:val="00314FE0"/>
    <w:rsid w:val="0032018B"/>
    <w:rsid w:val="00320419"/>
    <w:rsid w:val="0032140E"/>
    <w:rsid w:val="003235BD"/>
    <w:rsid w:val="00325105"/>
    <w:rsid w:val="003263C2"/>
    <w:rsid w:val="003334C3"/>
    <w:rsid w:val="00333D1A"/>
    <w:rsid w:val="00334CA0"/>
    <w:rsid w:val="00340328"/>
    <w:rsid w:val="00345263"/>
    <w:rsid w:val="00352F84"/>
    <w:rsid w:val="00360E00"/>
    <w:rsid w:val="003612BB"/>
    <w:rsid w:val="00361373"/>
    <w:rsid w:val="003613CE"/>
    <w:rsid w:val="0036301C"/>
    <w:rsid w:val="003633CA"/>
    <w:rsid w:val="00363509"/>
    <w:rsid w:val="003654D0"/>
    <w:rsid w:val="00377D7F"/>
    <w:rsid w:val="00381639"/>
    <w:rsid w:val="00384E4B"/>
    <w:rsid w:val="00386FC4"/>
    <w:rsid w:val="003877E9"/>
    <w:rsid w:val="00387E5E"/>
    <w:rsid w:val="00391571"/>
    <w:rsid w:val="003970A5"/>
    <w:rsid w:val="00397EC2"/>
    <w:rsid w:val="003A52E1"/>
    <w:rsid w:val="003A7A56"/>
    <w:rsid w:val="003B1D8C"/>
    <w:rsid w:val="003B2FD1"/>
    <w:rsid w:val="003B562F"/>
    <w:rsid w:val="003B6E9F"/>
    <w:rsid w:val="003C0311"/>
    <w:rsid w:val="003C2065"/>
    <w:rsid w:val="003C4B75"/>
    <w:rsid w:val="003D01B9"/>
    <w:rsid w:val="003E0BD3"/>
    <w:rsid w:val="003E1388"/>
    <w:rsid w:val="003E15A5"/>
    <w:rsid w:val="003E6A44"/>
    <w:rsid w:val="003E7DEE"/>
    <w:rsid w:val="003F0305"/>
    <w:rsid w:val="003F0AD9"/>
    <w:rsid w:val="003F0E58"/>
    <w:rsid w:val="003F1BD7"/>
    <w:rsid w:val="003F2439"/>
    <w:rsid w:val="003F2587"/>
    <w:rsid w:val="003F553C"/>
    <w:rsid w:val="003F5C6B"/>
    <w:rsid w:val="004000A7"/>
    <w:rsid w:val="00403EED"/>
    <w:rsid w:val="00404568"/>
    <w:rsid w:val="00410D74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364A"/>
    <w:rsid w:val="00434B27"/>
    <w:rsid w:val="00435F67"/>
    <w:rsid w:val="00436C54"/>
    <w:rsid w:val="00441277"/>
    <w:rsid w:val="0044322B"/>
    <w:rsid w:val="0044400F"/>
    <w:rsid w:val="00444685"/>
    <w:rsid w:val="00446230"/>
    <w:rsid w:val="00447F88"/>
    <w:rsid w:val="0045409C"/>
    <w:rsid w:val="00454121"/>
    <w:rsid w:val="004563C7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2F2F"/>
    <w:rsid w:val="0048327E"/>
    <w:rsid w:val="0049256F"/>
    <w:rsid w:val="00494894"/>
    <w:rsid w:val="004A54B4"/>
    <w:rsid w:val="004A691D"/>
    <w:rsid w:val="004A6B1D"/>
    <w:rsid w:val="004A7A2D"/>
    <w:rsid w:val="004B24C3"/>
    <w:rsid w:val="004B4AC2"/>
    <w:rsid w:val="004C3012"/>
    <w:rsid w:val="004C3FA3"/>
    <w:rsid w:val="004C4B45"/>
    <w:rsid w:val="004D12BD"/>
    <w:rsid w:val="004D17A7"/>
    <w:rsid w:val="004D67ED"/>
    <w:rsid w:val="004D79A7"/>
    <w:rsid w:val="004E0F12"/>
    <w:rsid w:val="004E273D"/>
    <w:rsid w:val="004E44C8"/>
    <w:rsid w:val="004E7FA3"/>
    <w:rsid w:val="004F25E5"/>
    <w:rsid w:val="004F2C3F"/>
    <w:rsid w:val="004F3EE7"/>
    <w:rsid w:val="004F4D92"/>
    <w:rsid w:val="004F5040"/>
    <w:rsid w:val="004F786D"/>
    <w:rsid w:val="005022F5"/>
    <w:rsid w:val="00514C1D"/>
    <w:rsid w:val="0051589D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3F53"/>
    <w:rsid w:val="00582B53"/>
    <w:rsid w:val="00586862"/>
    <w:rsid w:val="00586F8D"/>
    <w:rsid w:val="0059346E"/>
    <w:rsid w:val="005959BD"/>
    <w:rsid w:val="005976EE"/>
    <w:rsid w:val="0059795A"/>
    <w:rsid w:val="005A08AD"/>
    <w:rsid w:val="005A0F0B"/>
    <w:rsid w:val="005A3A24"/>
    <w:rsid w:val="005A3DBB"/>
    <w:rsid w:val="005B159C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F3152"/>
    <w:rsid w:val="005F3A44"/>
    <w:rsid w:val="005F56E8"/>
    <w:rsid w:val="005F6C66"/>
    <w:rsid w:val="00601C3B"/>
    <w:rsid w:val="00603C51"/>
    <w:rsid w:val="00606220"/>
    <w:rsid w:val="00611E6C"/>
    <w:rsid w:val="0061311F"/>
    <w:rsid w:val="0061520D"/>
    <w:rsid w:val="00615A26"/>
    <w:rsid w:val="00615D3E"/>
    <w:rsid w:val="00621F16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2FE7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92399"/>
    <w:rsid w:val="00694B96"/>
    <w:rsid w:val="006A16F9"/>
    <w:rsid w:val="006A4A63"/>
    <w:rsid w:val="006A64C4"/>
    <w:rsid w:val="006A71B8"/>
    <w:rsid w:val="006A7879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0577A"/>
    <w:rsid w:val="007065FB"/>
    <w:rsid w:val="00711158"/>
    <w:rsid w:val="00712CCF"/>
    <w:rsid w:val="007150FA"/>
    <w:rsid w:val="00716E83"/>
    <w:rsid w:val="00722338"/>
    <w:rsid w:val="00722961"/>
    <w:rsid w:val="007236D0"/>
    <w:rsid w:val="00727FF6"/>
    <w:rsid w:val="00730B56"/>
    <w:rsid w:val="007363E9"/>
    <w:rsid w:val="007369F3"/>
    <w:rsid w:val="0074164E"/>
    <w:rsid w:val="007418E2"/>
    <w:rsid w:val="00746E22"/>
    <w:rsid w:val="00747258"/>
    <w:rsid w:val="00753131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735AD"/>
    <w:rsid w:val="00781479"/>
    <w:rsid w:val="00784948"/>
    <w:rsid w:val="00785A7B"/>
    <w:rsid w:val="00790781"/>
    <w:rsid w:val="0079175E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7500"/>
    <w:rsid w:val="007E0693"/>
    <w:rsid w:val="007E137F"/>
    <w:rsid w:val="007E2F82"/>
    <w:rsid w:val="007E4182"/>
    <w:rsid w:val="007E4CF7"/>
    <w:rsid w:val="007E55B8"/>
    <w:rsid w:val="007E5BED"/>
    <w:rsid w:val="007E6561"/>
    <w:rsid w:val="007E6858"/>
    <w:rsid w:val="007F11FA"/>
    <w:rsid w:val="007F2613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24F67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905"/>
    <w:rsid w:val="00885BD9"/>
    <w:rsid w:val="00885ECF"/>
    <w:rsid w:val="00885FF8"/>
    <w:rsid w:val="00886630"/>
    <w:rsid w:val="0088732D"/>
    <w:rsid w:val="0089141F"/>
    <w:rsid w:val="008950EF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0691C"/>
    <w:rsid w:val="009113D9"/>
    <w:rsid w:val="00911579"/>
    <w:rsid w:val="00913740"/>
    <w:rsid w:val="00913F8B"/>
    <w:rsid w:val="00924785"/>
    <w:rsid w:val="00927715"/>
    <w:rsid w:val="00927E68"/>
    <w:rsid w:val="009301EF"/>
    <w:rsid w:val="009304A9"/>
    <w:rsid w:val="0093770D"/>
    <w:rsid w:val="009408BF"/>
    <w:rsid w:val="009412EB"/>
    <w:rsid w:val="00942736"/>
    <w:rsid w:val="0095148A"/>
    <w:rsid w:val="00951B3D"/>
    <w:rsid w:val="00955241"/>
    <w:rsid w:val="009605A6"/>
    <w:rsid w:val="0096700E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12615"/>
    <w:rsid w:val="00A13966"/>
    <w:rsid w:val="00A13E12"/>
    <w:rsid w:val="00A166FB"/>
    <w:rsid w:val="00A26847"/>
    <w:rsid w:val="00A2752A"/>
    <w:rsid w:val="00A27581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0"/>
    <w:rsid w:val="00A539C6"/>
    <w:rsid w:val="00A54606"/>
    <w:rsid w:val="00A54F2B"/>
    <w:rsid w:val="00A54F57"/>
    <w:rsid w:val="00A55C6D"/>
    <w:rsid w:val="00A570BA"/>
    <w:rsid w:val="00A5764D"/>
    <w:rsid w:val="00A6240A"/>
    <w:rsid w:val="00A634D2"/>
    <w:rsid w:val="00A63BC6"/>
    <w:rsid w:val="00A640A9"/>
    <w:rsid w:val="00A759CA"/>
    <w:rsid w:val="00A80025"/>
    <w:rsid w:val="00A8192E"/>
    <w:rsid w:val="00A83BA4"/>
    <w:rsid w:val="00A906FB"/>
    <w:rsid w:val="00A9126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53B8"/>
    <w:rsid w:val="00AA7953"/>
    <w:rsid w:val="00AB5E56"/>
    <w:rsid w:val="00AB718C"/>
    <w:rsid w:val="00AD0426"/>
    <w:rsid w:val="00AD7793"/>
    <w:rsid w:val="00AE48CA"/>
    <w:rsid w:val="00AE7B42"/>
    <w:rsid w:val="00AF0CB1"/>
    <w:rsid w:val="00AF455D"/>
    <w:rsid w:val="00AF6749"/>
    <w:rsid w:val="00B03DE7"/>
    <w:rsid w:val="00B04859"/>
    <w:rsid w:val="00B067AB"/>
    <w:rsid w:val="00B13C42"/>
    <w:rsid w:val="00B13E4E"/>
    <w:rsid w:val="00B151DF"/>
    <w:rsid w:val="00B1578A"/>
    <w:rsid w:val="00B16FB9"/>
    <w:rsid w:val="00B2201F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3ECD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382"/>
    <w:rsid w:val="00B71C78"/>
    <w:rsid w:val="00B72641"/>
    <w:rsid w:val="00B73397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26B9"/>
    <w:rsid w:val="00B96293"/>
    <w:rsid w:val="00B963DC"/>
    <w:rsid w:val="00BA4BD2"/>
    <w:rsid w:val="00BA6256"/>
    <w:rsid w:val="00BA6EF2"/>
    <w:rsid w:val="00BB0485"/>
    <w:rsid w:val="00BB2DDD"/>
    <w:rsid w:val="00BB58B9"/>
    <w:rsid w:val="00BB5C33"/>
    <w:rsid w:val="00BB6102"/>
    <w:rsid w:val="00BB787A"/>
    <w:rsid w:val="00BC366A"/>
    <w:rsid w:val="00BC66C5"/>
    <w:rsid w:val="00BD668D"/>
    <w:rsid w:val="00BD6915"/>
    <w:rsid w:val="00BD7086"/>
    <w:rsid w:val="00BE40CE"/>
    <w:rsid w:val="00BE426F"/>
    <w:rsid w:val="00BF0C8C"/>
    <w:rsid w:val="00BF426B"/>
    <w:rsid w:val="00BF5AFF"/>
    <w:rsid w:val="00C00080"/>
    <w:rsid w:val="00C05281"/>
    <w:rsid w:val="00C052E6"/>
    <w:rsid w:val="00C0575E"/>
    <w:rsid w:val="00C1066D"/>
    <w:rsid w:val="00C16BBB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1B6E"/>
    <w:rsid w:val="00C62392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389E"/>
    <w:rsid w:val="00CB6604"/>
    <w:rsid w:val="00CB66AD"/>
    <w:rsid w:val="00CC6203"/>
    <w:rsid w:val="00CD1217"/>
    <w:rsid w:val="00CE0ABE"/>
    <w:rsid w:val="00CE2928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5346B"/>
    <w:rsid w:val="00D53902"/>
    <w:rsid w:val="00D61201"/>
    <w:rsid w:val="00D63591"/>
    <w:rsid w:val="00D64684"/>
    <w:rsid w:val="00D64891"/>
    <w:rsid w:val="00D649F6"/>
    <w:rsid w:val="00D65835"/>
    <w:rsid w:val="00D65979"/>
    <w:rsid w:val="00D65C9A"/>
    <w:rsid w:val="00D71B0A"/>
    <w:rsid w:val="00D76292"/>
    <w:rsid w:val="00D7727F"/>
    <w:rsid w:val="00D85A6B"/>
    <w:rsid w:val="00D90EF1"/>
    <w:rsid w:val="00D956A0"/>
    <w:rsid w:val="00D96D61"/>
    <w:rsid w:val="00DA39E5"/>
    <w:rsid w:val="00DA627B"/>
    <w:rsid w:val="00DB2F05"/>
    <w:rsid w:val="00DB5E5B"/>
    <w:rsid w:val="00DB7622"/>
    <w:rsid w:val="00DC1B27"/>
    <w:rsid w:val="00DC29A7"/>
    <w:rsid w:val="00DC3D9F"/>
    <w:rsid w:val="00DC4A91"/>
    <w:rsid w:val="00DC4D5C"/>
    <w:rsid w:val="00DD03E4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6028"/>
    <w:rsid w:val="00DF72CC"/>
    <w:rsid w:val="00E00E5D"/>
    <w:rsid w:val="00E02431"/>
    <w:rsid w:val="00E04144"/>
    <w:rsid w:val="00E059DF"/>
    <w:rsid w:val="00E05DD7"/>
    <w:rsid w:val="00E076DC"/>
    <w:rsid w:val="00E111ED"/>
    <w:rsid w:val="00E128CF"/>
    <w:rsid w:val="00E132F6"/>
    <w:rsid w:val="00E15841"/>
    <w:rsid w:val="00E20073"/>
    <w:rsid w:val="00E2182D"/>
    <w:rsid w:val="00E227EC"/>
    <w:rsid w:val="00E23BA0"/>
    <w:rsid w:val="00E23FB5"/>
    <w:rsid w:val="00E240B4"/>
    <w:rsid w:val="00E24E71"/>
    <w:rsid w:val="00E26643"/>
    <w:rsid w:val="00E30748"/>
    <w:rsid w:val="00E35693"/>
    <w:rsid w:val="00E372E6"/>
    <w:rsid w:val="00E4096A"/>
    <w:rsid w:val="00E410E1"/>
    <w:rsid w:val="00E42CFE"/>
    <w:rsid w:val="00E5063D"/>
    <w:rsid w:val="00E51713"/>
    <w:rsid w:val="00E558F6"/>
    <w:rsid w:val="00E61B00"/>
    <w:rsid w:val="00E67216"/>
    <w:rsid w:val="00E70B63"/>
    <w:rsid w:val="00E7131C"/>
    <w:rsid w:val="00E72048"/>
    <w:rsid w:val="00E73402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5BB7"/>
    <w:rsid w:val="00EC60DF"/>
    <w:rsid w:val="00EC75F9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7716"/>
    <w:rsid w:val="00F000B5"/>
    <w:rsid w:val="00F018D6"/>
    <w:rsid w:val="00F04C1C"/>
    <w:rsid w:val="00F12A1F"/>
    <w:rsid w:val="00F133A2"/>
    <w:rsid w:val="00F135EC"/>
    <w:rsid w:val="00F151C0"/>
    <w:rsid w:val="00F15C3F"/>
    <w:rsid w:val="00F16B47"/>
    <w:rsid w:val="00F2372D"/>
    <w:rsid w:val="00F2497E"/>
    <w:rsid w:val="00F261CA"/>
    <w:rsid w:val="00F278C9"/>
    <w:rsid w:val="00F34821"/>
    <w:rsid w:val="00F360F3"/>
    <w:rsid w:val="00F36CC0"/>
    <w:rsid w:val="00F37E76"/>
    <w:rsid w:val="00F41056"/>
    <w:rsid w:val="00F44BE2"/>
    <w:rsid w:val="00F450F2"/>
    <w:rsid w:val="00F470D7"/>
    <w:rsid w:val="00F54097"/>
    <w:rsid w:val="00F57199"/>
    <w:rsid w:val="00F67D0A"/>
    <w:rsid w:val="00F759D1"/>
    <w:rsid w:val="00F80A23"/>
    <w:rsid w:val="00F8393B"/>
    <w:rsid w:val="00F851EA"/>
    <w:rsid w:val="00F90533"/>
    <w:rsid w:val="00F93314"/>
    <w:rsid w:val="00F95495"/>
    <w:rsid w:val="00FA38F8"/>
    <w:rsid w:val="00FA4B19"/>
    <w:rsid w:val="00FA6443"/>
    <w:rsid w:val="00FB2C83"/>
    <w:rsid w:val="00FB626C"/>
    <w:rsid w:val="00FC002B"/>
    <w:rsid w:val="00FC4D7D"/>
    <w:rsid w:val="00FC5323"/>
    <w:rsid w:val="00FC55EA"/>
    <w:rsid w:val="00FD091C"/>
    <w:rsid w:val="00FD34E4"/>
    <w:rsid w:val="00FD351C"/>
    <w:rsid w:val="00FD38E8"/>
    <w:rsid w:val="00FE1755"/>
    <w:rsid w:val="00FE17AE"/>
    <w:rsid w:val="00FE312A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392</cp:revision>
  <cp:lastPrinted>2023-12-08T13:52:00Z</cp:lastPrinted>
  <dcterms:created xsi:type="dcterms:W3CDTF">2023-12-08T08:15:00Z</dcterms:created>
  <dcterms:modified xsi:type="dcterms:W3CDTF">2024-03-01T18:15:00Z</dcterms:modified>
</cp:coreProperties>
</file>