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334E8B26" w:rsidR="001B162C" w:rsidRDefault="0052492B" w:rsidP="00615D31">
      <w:pPr>
        <w:pStyle w:val="ParagraphNormal"/>
        <w:jc w:val="both"/>
      </w:pPr>
      <w:r>
        <w:t>Y</w:t>
      </w:r>
      <w:r w:rsidR="00BC2FA8">
        <w:t xml:space="preserve">our shoes </w:t>
      </w:r>
      <w:r w:rsidR="00FD75F8">
        <w:t xml:space="preserve">slosh with </w:t>
      </w:r>
      <w:r w:rsidR="008663DC">
        <w:t>rain</w:t>
      </w:r>
      <w:r w:rsidR="00FD75F8">
        <w:t xml:space="preserve">water as you </w:t>
      </w:r>
      <w:r w:rsidR="0093341F">
        <w:t>approach the</w:t>
      </w:r>
      <w:r w:rsidR="00524CDE">
        <w:t xml:space="preserve"> unassuming row house in </w:t>
      </w:r>
      <w:r w:rsidR="00CC07EC">
        <w:t xml:space="preserve">Crow’s Foot. </w:t>
      </w:r>
      <w:r w:rsidR="00A7701A">
        <w:t>Before you can lift the knocker, the door swings open</w:t>
      </w:r>
      <w:r w:rsidR="00F4183D">
        <w:t>.</w:t>
      </w:r>
      <w:r w:rsidR="00642719">
        <w:t xml:space="preserve"> </w:t>
      </w:r>
      <w:r w:rsidR="00F4183D">
        <w:t>A</w:t>
      </w:r>
      <w:r w:rsidR="00642719">
        <w:t xml:space="preserve"> portly man in a tailored suit ushers you </w:t>
      </w:r>
      <w:r w:rsidR="00CD35F4">
        <w:t xml:space="preserve">down </w:t>
      </w:r>
      <w:r w:rsidR="00EF6A7E">
        <w:t xml:space="preserve">a </w:t>
      </w:r>
      <w:r w:rsidR="00F461EA">
        <w:t xml:space="preserve">hallway </w:t>
      </w:r>
      <w:r w:rsidR="00D527E1">
        <w:t xml:space="preserve">to a </w:t>
      </w:r>
      <w:r w:rsidR="00B37DB1">
        <w:t xml:space="preserve">large </w:t>
      </w:r>
      <w:r w:rsidR="002D1475">
        <w:t xml:space="preserve">room </w:t>
      </w:r>
      <w:r w:rsidR="009652DE">
        <w:t xml:space="preserve">with </w:t>
      </w:r>
      <w:r w:rsidR="00BD4CE8">
        <w:t xml:space="preserve">wood furnishings and </w:t>
      </w:r>
      <w:r w:rsidR="00D527E1">
        <w:t>high-backed plush chair</w:t>
      </w:r>
      <w:r w:rsidR="00BD4CE8">
        <w:t>s</w:t>
      </w:r>
      <w:r w:rsidR="00202333">
        <w:t>.</w:t>
      </w:r>
      <w:r w:rsidR="007D2989">
        <w:t xml:space="preserve"> </w:t>
      </w:r>
      <w:r w:rsidR="003D265E">
        <w:t xml:space="preserve">He </w:t>
      </w:r>
      <w:r w:rsidR="00FE3634">
        <w:t>gestures</w:t>
      </w:r>
      <w:r w:rsidR="00984AFC">
        <w:t xml:space="preserve"> in a bored voice</w:t>
      </w:r>
      <w:r w:rsidR="00FE3634">
        <w:t xml:space="preserve"> for you to sit</w:t>
      </w:r>
      <w:r w:rsidR="0035390F">
        <w:t xml:space="preserve">, rummaging </w:t>
      </w:r>
      <w:r w:rsidR="007D2989">
        <w:t>through a briefcase</w:t>
      </w:r>
      <w:r w:rsidR="00494EC4">
        <w:t xml:space="preserve"> before</w:t>
      </w:r>
      <w:r w:rsidR="009948B9">
        <w:t xml:space="preserve"> </w:t>
      </w:r>
      <w:r w:rsidR="0035390F">
        <w:t xml:space="preserve">he </w:t>
      </w:r>
      <w:r w:rsidR="0011131A">
        <w:t>remov</w:t>
      </w:r>
      <w:r w:rsidR="000940E5">
        <w:t>es</w:t>
      </w:r>
      <w:r w:rsidR="0035390F">
        <w:t xml:space="preserve"> </w:t>
      </w:r>
      <w:r w:rsidR="007D2989">
        <w:t>several sealed envelopes</w:t>
      </w:r>
      <w:r w:rsidR="00A90BF4">
        <w:t>.</w:t>
      </w:r>
      <w:r w:rsidR="00277D00">
        <w:t xml:space="preserve"> </w:t>
      </w:r>
    </w:p>
    <w:p w14:paraId="266A1CA3" w14:textId="75645766" w:rsidR="00E9660B" w:rsidRPr="00DC29A7" w:rsidRDefault="001B162C" w:rsidP="001804DD">
      <w:pPr>
        <w:pStyle w:val="Quote"/>
        <w:spacing w:afterLines="0" w:after="200"/>
        <w:ind w:right="432"/>
        <w:jc w:val="both"/>
      </w:pPr>
      <w:r>
        <w:t>“</w:t>
      </w:r>
      <w:r w:rsidR="009D5CD5">
        <w:t xml:space="preserve">My master, the </w:t>
      </w:r>
      <w:r w:rsidR="009D5CD5" w:rsidRPr="00AF4669">
        <w:rPr>
          <w:rStyle w:val="Strong"/>
        </w:rPr>
        <w:t>Benefactor</w:t>
      </w:r>
      <w:r w:rsidR="009D5CD5">
        <w:t xml:space="preserve">, wishes you </w:t>
      </w:r>
      <w:r w:rsidR="00B53F88">
        <w:t xml:space="preserve">to </w:t>
      </w:r>
      <w:r w:rsidR="00E43DFD">
        <w:t>feel comfortable in his home</w:t>
      </w:r>
      <w:r>
        <w:t>.</w:t>
      </w:r>
      <w:r w:rsidR="009D5CD5">
        <w:t xml:space="preserve"> </w:t>
      </w:r>
      <w:r w:rsidR="007A34AC">
        <w:t xml:space="preserve">He </w:t>
      </w:r>
      <w:r w:rsidR="002E1844">
        <w:t xml:space="preserve">requests you accept his apology that he cannot </w:t>
      </w:r>
      <w:r w:rsidR="00DA529D">
        <w:t xml:space="preserve">greet you </w:t>
      </w:r>
      <w:r w:rsidR="002E1844">
        <w:t>in person</w:t>
      </w:r>
      <w:r w:rsidR="00DA529D">
        <w:t xml:space="preserve">. He is unfortunately out of town due to a sudden business </w:t>
      </w:r>
      <w:r w:rsidR="003F02FC">
        <w:t>opportunity</w:t>
      </w:r>
      <w:r w:rsidR="002E1844">
        <w:t xml:space="preserve"> that require</w:t>
      </w:r>
      <w:r w:rsidR="00223B7A">
        <w:t>s</w:t>
      </w:r>
      <w:r w:rsidR="002E1844">
        <w:t xml:space="preserve"> his presence </w:t>
      </w:r>
      <w:r w:rsidR="00DA529D">
        <w:t xml:space="preserve">in </w:t>
      </w:r>
      <w:r w:rsidR="00697B89">
        <w:t>Tycheros.</w:t>
      </w:r>
      <w:r w:rsidR="00C423BF">
        <w:t xml:space="preserve"> </w:t>
      </w:r>
      <w:r w:rsidR="009861B5">
        <w:t xml:space="preserve">As you can see, </w:t>
      </w:r>
      <w:r w:rsidR="003B4E7C">
        <w:t>your</w:t>
      </w:r>
      <w:r w:rsidR="009861B5">
        <w:t xml:space="preserve"> contract contains </w:t>
      </w:r>
      <w:r w:rsidR="000D1F3A">
        <w:t>a time, a place, and a</w:t>
      </w:r>
      <w:r w:rsidR="00A75394">
        <w:t xml:space="preserve"> target</w:t>
      </w:r>
      <w:r w:rsidR="00AA2554">
        <w:t>.</w:t>
      </w:r>
      <w:r w:rsidR="003332C2">
        <w:t xml:space="preserve"> It’s </w:t>
      </w:r>
      <w:r w:rsidR="00A47E47">
        <w:t>inconsequential</w:t>
      </w:r>
      <w:r w:rsidR="003332C2">
        <w:t xml:space="preserve"> to the Benefactor if you make a mess </w:t>
      </w:r>
      <w:r w:rsidR="008B0DCD">
        <w:t>satisfying</w:t>
      </w:r>
      <w:r w:rsidR="003332C2">
        <w:t xml:space="preserve"> the </w:t>
      </w:r>
      <w:r w:rsidR="00A440E9">
        <w:t xml:space="preserve">contract’s </w:t>
      </w:r>
      <w:r w:rsidR="003332C2">
        <w:t>terms.</w:t>
      </w:r>
      <w:r w:rsidR="0049106A">
        <w:t xml:space="preserve"> Return with the package in one week’s time</w:t>
      </w:r>
      <w:r w:rsidR="00A6525E">
        <w:t xml:space="preserve"> </w:t>
      </w:r>
      <w:r w:rsidR="0049106A">
        <w:t xml:space="preserve">and the substantial payment in the contract will </w:t>
      </w:r>
      <w:r w:rsidR="00A37585">
        <w:t>be paid out in full</w:t>
      </w:r>
      <w:r w:rsidR="0049106A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B8261B0" w:rsidR="000D236E" w:rsidRPr="00046372" w:rsidRDefault="00D83DBC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The </w:t>
            </w:r>
            <w:r w:rsidR="00BC5F7D">
              <w:t xml:space="preserve">envelopes </w:t>
            </w:r>
            <w:r>
              <w:t xml:space="preserve">contain </w:t>
            </w:r>
            <w:r w:rsidR="008B565F">
              <w:t xml:space="preserve">documents </w:t>
            </w:r>
            <w:r w:rsidR="00BC5F7D">
              <w:t xml:space="preserve">concerning a Leviathan Hunter Ship, </w:t>
            </w:r>
            <w:r w:rsidR="00EF5CB6">
              <w:t>The Red Mariner, including</w:t>
            </w:r>
            <w:r w:rsidR="00FE0092">
              <w:t xml:space="preserve"> docking time tables (it’s departing at the end of the week)</w:t>
            </w:r>
            <w:r w:rsidR="00AE735F">
              <w:t xml:space="preserve"> and a floor plan with a few </w:t>
            </w:r>
            <w:r w:rsidR="003C10B4">
              <w:t xml:space="preserve">rooms </w:t>
            </w:r>
            <w:r w:rsidR="00AE735F">
              <w:t>labeled</w:t>
            </w:r>
            <w:r w:rsidR="00D61041">
              <w:t xml:space="preserve"> and circled</w:t>
            </w:r>
            <w:r w:rsidR="00AE735F">
              <w:t xml:space="preserve">. </w:t>
            </w:r>
            <w:r w:rsidR="001540F0">
              <w:t xml:space="preserve">An area </w:t>
            </w:r>
            <w:r w:rsidR="00010E76">
              <w:t xml:space="preserve">of the ship </w:t>
            </w:r>
            <w:r w:rsidR="00D61041">
              <w:t xml:space="preserve">is </w:t>
            </w:r>
            <w:r w:rsidR="00010E76">
              <w:t xml:space="preserve">scratched out and marked </w:t>
            </w:r>
            <w:r w:rsidR="00E13401" w:rsidRPr="005F74E1">
              <w:rPr>
                <w:rFonts w:ascii="Chiller" w:hAnsi="Chiller"/>
              </w:rPr>
              <w:t>AVOID</w:t>
            </w:r>
            <w:r w:rsidR="002C45ED">
              <w:t>.</w:t>
            </w:r>
            <w:r w:rsidR="005853BA">
              <w:t xml:space="preserve"> A </w:t>
            </w:r>
            <w:r w:rsidR="00A46773">
              <w:t xml:space="preserve">short </w:t>
            </w:r>
            <w:r w:rsidR="005853BA">
              <w:t xml:space="preserve">article </w:t>
            </w:r>
            <w:r w:rsidR="00BB085F">
              <w:t>clipping</w:t>
            </w:r>
            <w:r w:rsidR="005853BA">
              <w:t xml:space="preserve"> describes</w:t>
            </w:r>
            <w:r w:rsidR="0043615E">
              <w:t xml:space="preserve"> a </w:t>
            </w:r>
            <w:r w:rsidR="00FB5E6F">
              <w:t xml:space="preserve">peculiar </w:t>
            </w:r>
            <w:r w:rsidR="00604E9E">
              <w:t xml:space="preserve">spyglass that was found </w:t>
            </w:r>
            <w:r w:rsidR="00BB60F9">
              <w:t xml:space="preserve">by sailors </w:t>
            </w:r>
            <w:r w:rsidR="00604E9E">
              <w:t xml:space="preserve">in the body of a </w:t>
            </w:r>
            <w:r w:rsidR="00E31584">
              <w:t>dead Leviathan.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>Bibendum enim facilisis gravida neque convallis a. Rhoncus aenean vel elit scelerisque mauris pellentesque pulvinar pellentesque.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lastRenderedPageBreak/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290CD" w14:textId="77777777" w:rsidR="00903C4B" w:rsidRDefault="00903C4B" w:rsidP="00022E1F">
      <w:r>
        <w:separator/>
      </w:r>
    </w:p>
  </w:endnote>
  <w:endnote w:type="continuationSeparator" w:id="0">
    <w:p w14:paraId="481923D2" w14:textId="77777777" w:rsidR="00903C4B" w:rsidRDefault="00903C4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3D2D7" w14:textId="77777777" w:rsidR="00903C4B" w:rsidRDefault="00903C4B" w:rsidP="00022E1F">
      <w:r>
        <w:separator/>
      </w:r>
    </w:p>
  </w:footnote>
  <w:footnote w:type="continuationSeparator" w:id="0">
    <w:p w14:paraId="133DFD29" w14:textId="77777777" w:rsidR="00903C4B" w:rsidRDefault="00903C4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1754EDE9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4E0E41E4">
          <wp:simplePos x="0" y="0"/>
          <wp:positionH relativeFrom="column">
            <wp:posOffset>3080546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1E71C4">
      <w:rPr>
        <w:rStyle w:val="Strong"/>
      </w:rPr>
      <w:t>The Red Mariner</w:t>
    </w:r>
    <w:r w:rsidR="0076657C">
      <w:rPr>
        <w:rStyle w:val="Strong"/>
      </w:rPr>
      <w:t xml:space="preserve"> Plot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0E76"/>
    <w:rsid w:val="00012389"/>
    <w:rsid w:val="0001243A"/>
    <w:rsid w:val="000168C4"/>
    <w:rsid w:val="00020FEA"/>
    <w:rsid w:val="00021B74"/>
    <w:rsid w:val="00022BC4"/>
    <w:rsid w:val="00022E1F"/>
    <w:rsid w:val="00024C21"/>
    <w:rsid w:val="000254BD"/>
    <w:rsid w:val="000310E9"/>
    <w:rsid w:val="00032040"/>
    <w:rsid w:val="00032585"/>
    <w:rsid w:val="000359DA"/>
    <w:rsid w:val="00035ADC"/>
    <w:rsid w:val="0003618B"/>
    <w:rsid w:val="00040E4E"/>
    <w:rsid w:val="00046372"/>
    <w:rsid w:val="000508BF"/>
    <w:rsid w:val="00050EB5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91233"/>
    <w:rsid w:val="00092214"/>
    <w:rsid w:val="000927E8"/>
    <w:rsid w:val="000940E5"/>
    <w:rsid w:val="000941FD"/>
    <w:rsid w:val="000A0FBD"/>
    <w:rsid w:val="000A2897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B72EB"/>
    <w:rsid w:val="000C236F"/>
    <w:rsid w:val="000C4878"/>
    <w:rsid w:val="000C6B2C"/>
    <w:rsid w:val="000D0E56"/>
    <w:rsid w:val="000D14DC"/>
    <w:rsid w:val="000D1A13"/>
    <w:rsid w:val="000D1F3A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131A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40F0"/>
    <w:rsid w:val="00156158"/>
    <w:rsid w:val="001576CB"/>
    <w:rsid w:val="00165B84"/>
    <w:rsid w:val="00165DC5"/>
    <w:rsid w:val="00167388"/>
    <w:rsid w:val="00171C0F"/>
    <w:rsid w:val="00172953"/>
    <w:rsid w:val="001732AD"/>
    <w:rsid w:val="0017571B"/>
    <w:rsid w:val="001804DD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B017F"/>
    <w:rsid w:val="001B0920"/>
    <w:rsid w:val="001B162C"/>
    <w:rsid w:val="001B3412"/>
    <w:rsid w:val="001B3F98"/>
    <w:rsid w:val="001B50A5"/>
    <w:rsid w:val="001B7655"/>
    <w:rsid w:val="001C4E3A"/>
    <w:rsid w:val="001C5A21"/>
    <w:rsid w:val="001D0B7F"/>
    <w:rsid w:val="001D1F8B"/>
    <w:rsid w:val="001D4B8A"/>
    <w:rsid w:val="001D4BBF"/>
    <w:rsid w:val="001D53F1"/>
    <w:rsid w:val="001E048E"/>
    <w:rsid w:val="001E332C"/>
    <w:rsid w:val="001E5004"/>
    <w:rsid w:val="001E54F7"/>
    <w:rsid w:val="001E58A4"/>
    <w:rsid w:val="001E71C4"/>
    <w:rsid w:val="001F3412"/>
    <w:rsid w:val="001F46FC"/>
    <w:rsid w:val="001F5015"/>
    <w:rsid w:val="001F65D6"/>
    <w:rsid w:val="00200677"/>
    <w:rsid w:val="002021B2"/>
    <w:rsid w:val="002022EF"/>
    <w:rsid w:val="00202333"/>
    <w:rsid w:val="00202C4E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3B7A"/>
    <w:rsid w:val="00226CE7"/>
    <w:rsid w:val="002326E4"/>
    <w:rsid w:val="002327BF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22DC"/>
    <w:rsid w:val="00263D1E"/>
    <w:rsid w:val="00264B31"/>
    <w:rsid w:val="00265EFE"/>
    <w:rsid w:val="0026668E"/>
    <w:rsid w:val="00267088"/>
    <w:rsid w:val="00274669"/>
    <w:rsid w:val="00276DDC"/>
    <w:rsid w:val="00277D00"/>
    <w:rsid w:val="00280481"/>
    <w:rsid w:val="0028273E"/>
    <w:rsid w:val="00290AD9"/>
    <w:rsid w:val="002A1911"/>
    <w:rsid w:val="002A22D5"/>
    <w:rsid w:val="002A5B5E"/>
    <w:rsid w:val="002A6132"/>
    <w:rsid w:val="002A7B63"/>
    <w:rsid w:val="002B1F66"/>
    <w:rsid w:val="002B5705"/>
    <w:rsid w:val="002C065A"/>
    <w:rsid w:val="002C1B0D"/>
    <w:rsid w:val="002C3FEE"/>
    <w:rsid w:val="002C45ED"/>
    <w:rsid w:val="002C4CB8"/>
    <w:rsid w:val="002C5192"/>
    <w:rsid w:val="002D1475"/>
    <w:rsid w:val="002D2999"/>
    <w:rsid w:val="002D3949"/>
    <w:rsid w:val="002D3D73"/>
    <w:rsid w:val="002D4C27"/>
    <w:rsid w:val="002D7202"/>
    <w:rsid w:val="002E1844"/>
    <w:rsid w:val="002E2826"/>
    <w:rsid w:val="002E2BB2"/>
    <w:rsid w:val="002F082C"/>
    <w:rsid w:val="002F16A0"/>
    <w:rsid w:val="002F28E4"/>
    <w:rsid w:val="002F7CD4"/>
    <w:rsid w:val="00300C56"/>
    <w:rsid w:val="003025CD"/>
    <w:rsid w:val="00314FE0"/>
    <w:rsid w:val="0032018B"/>
    <w:rsid w:val="00320419"/>
    <w:rsid w:val="0032140E"/>
    <w:rsid w:val="003235BD"/>
    <w:rsid w:val="00325105"/>
    <w:rsid w:val="003263C2"/>
    <w:rsid w:val="0032774F"/>
    <w:rsid w:val="003332C2"/>
    <w:rsid w:val="003334C3"/>
    <w:rsid w:val="00333D1A"/>
    <w:rsid w:val="00334CA0"/>
    <w:rsid w:val="00340328"/>
    <w:rsid w:val="00345263"/>
    <w:rsid w:val="00352F84"/>
    <w:rsid w:val="0035390F"/>
    <w:rsid w:val="003612BB"/>
    <w:rsid w:val="00361373"/>
    <w:rsid w:val="003613CE"/>
    <w:rsid w:val="0036301C"/>
    <w:rsid w:val="003633CA"/>
    <w:rsid w:val="00363509"/>
    <w:rsid w:val="00366FFB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7A56"/>
    <w:rsid w:val="003B1D8C"/>
    <w:rsid w:val="003B2FD1"/>
    <w:rsid w:val="003B4E7C"/>
    <w:rsid w:val="003B562F"/>
    <w:rsid w:val="003C0311"/>
    <w:rsid w:val="003C10B4"/>
    <w:rsid w:val="003C2065"/>
    <w:rsid w:val="003C4B75"/>
    <w:rsid w:val="003D265E"/>
    <w:rsid w:val="003E15A5"/>
    <w:rsid w:val="003E6A44"/>
    <w:rsid w:val="003E7DEE"/>
    <w:rsid w:val="003F02FC"/>
    <w:rsid w:val="003F0305"/>
    <w:rsid w:val="003F0E58"/>
    <w:rsid w:val="003F1BD7"/>
    <w:rsid w:val="003F2587"/>
    <w:rsid w:val="003F553C"/>
    <w:rsid w:val="003F5C6B"/>
    <w:rsid w:val="004015C7"/>
    <w:rsid w:val="00403EED"/>
    <w:rsid w:val="00404568"/>
    <w:rsid w:val="00410D74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15E"/>
    <w:rsid w:val="00436C5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0D33"/>
    <w:rsid w:val="004611D5"/>
    <w:rsid w:val="00462887"/>
    <w:rsid w:val="00462EBF"/>
    <w:rsid w:val="00471285"/>
    <w:rsid w:val="00474719"/>
    <w:rsid w:val="0047513B"/>
    <w:rsid w:val="00482584"/>
    <w:rsid w:val="0048327E"/>
    <w:rsid w:val="0049106A"/>
    <w:rsid w:val="0049256F"/>
    <w:rsid w:val="00494EC4"/>
    <w:rsid w:val="004A54B4"/>
    <w:rsid w:val="004A691D"/>
    <w:rsid w:val="004A7A2D"/>
    <w:rsid w:val="004B24C3"/>
    <w:rsid w:val="004B55A3"/>
    <w:rsid w:val="004C3012"/>
    <w:rsid w:val="004C3FA3"/>
    <w:rsid w:val="004C4B45"/>
    <w:rsid w:val="004D12BD"/>
    <w:rsid w:val="004D17A7"/>
    <w:rsid w:val="004D79A7"/>
    <w:rsid w:val="004E0F12"/>
    <w:rsid w:val="004E273D"/>
    <w:rsid w:val="004E44C8"/>
    <w:rsid w:val="004E7FA3"/>
    <w:rsid w:val="004F25E5"/>
    <w:rsid w:val="004F3EE7"/>
    <w:rsid w:val="004F477E"/>
    <w:rsid w:val="004F4D92"/>
    <w:rsid w:val="004F5040"/>
    <w:rsid w:val="004F786D"/>
    <w:rsid w:val="005022F5"/>
    <w:rsid w:val="00505430"/>
    <w:rsid w:val="00514C1D"/>
    <w:rsid w:val="00522B06"/>
    <w:rsid w:val="005239E0"/>
    <w:rsid w:val="00523E30"/>
    <w:rsid w:val="0052492B"/>
    <w:rsid w:val="00524CDE"/>
    <w:rsid w:val="00526076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A25"/>
    <w:rsid w:val="00557DE7"/>
    <w:rsid w:val="005620CF"/>
    <w:rsid w:val="00565F81"/>
    <w:rsid w:val="00567232"/>
    <w:rsid w:val="00573F53"/>
    <w:rsid w:val="00582B53"/>
    <w:rsid w:val="005853BA"/>
    <w:rsid w:val="00586862"/>
    <w:rsid w:val="0059346E"/>
    <w:rsid w:val="005959BD"/>
    <w:rsid w:val="005976EE"/>
    <w:rsid w:val="0059795A"/>
    <w:rsid w:val="005A08AD"/>
    <w:rsid w:val="005B159C"/>
    <w:rsid w:val="005C2CE0"/>
    <w:rsid w:val="005C384E"/>
    <w:rsid w:val="005C6B24"/>
    <w:rsid w:val="005D0404"/>
    <w:rsid w:val="005D2AD1"/>
    <w:rsid w:val="005D2BCF"/>
    <w:rsid w:val="005D4A39"/>
    <w:rsid w:val="005D5D80"/>
    <w:rsid w:val="005D6207"/>
    <w:rsid w:val="005D65EE"/>
    <w:rsid w:val="005D7BEB"/>
    <w:rsid w:val="005E12E1"/>
    <w:rsid w:val="005E4529"/>
    <w:rsid w:val="005E514B"/>
    <w:rsid w:val="005F3152"/>
    <w:rsid w:val="005F56E8"/>
    <w:rsid w:val="005F6C66"/>
    <w:rsid w:val="005F74E1"/>
    <w:rsid w:val="00601C3B"/>
    <w:rsid w:val="00603B53"/>
    <w:rsid w:val="00603C51"/>
    <w:rsid w:val="00604E9E"/>
    <w:rsid w:val="00606220"/>
    <w:rsid w:val="00611E6C"/>
    <w:rsid w:val="0061520D"/>
    <w:rsid w:val="00615A26"/>
    <w:rsid w:val="00615D31"/>
    <w:rsid w:val="00615D3E"/>
    <w:rsid w:val="00620DA0"/>
    <w:rsid w:val="00622183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719"/>
    <w:rsid w:val="00642F39"/>
    <w:rsid w:val="00643305"/>
    <w:rsid w:val="006435D2"/>
    <w:rsid w:val="00645355"/>
    <w:rsid w:val="006475D3"/>
    <w:rsid w:val="0065272E"/>
    <w:rsid w:val="006528F4"/>
    <w:rsid w:val="00653680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94B96"/>
    <w:rsid w:val="00697B89"/>
    <w:rsid w:val="006A16F9"/>
    <w:rsid w:val="006A4A63"/>
    <w:rsid w:val="006A64C4"/>
    <w:rsid w:val="006A71B8"/>
    <w:rsid w:val="006A7879"/>
    <w:rsid w:val="006B06AA"/>
    <w:rsid w:val="006B10C5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0466B"/>
    <w:rsid w:val="00711158"/>
    <w:rsid w:val="007150FA"/>
    <w:rsid w:val="00716E83"/>
    <w:rsid w:val="00722338"/>
    <w:rsid w:val="00722961"/>
    <w:rsid w:val="007236D0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6657C"/>
    <w:rsid w:val="00772E6D"/>
    <w:rsid w:val="00780B33"/>
    <w:rsid w:val="00781479"/>
    <w:rsid w:val="00784948"/>
    <w:rsid w:val="00785A7B"/>
    <w:rsid w:val="00785B8B"/>
    <w:rsid w:val="00790781"/>
    <w:rsid w:val="00793F16"/>
    <w:rsid w:val="00793FA4"/>
    <w:rsid w:val="007942E7"/>
    <w:rsid w:val="00796E0F"/>
    <w:rsid w:val="00797460"/>
    <w:rsid w:val="007A20FE"/>
    <w:rsid w:val="007A26DE"/>
    <w:rsid w:val="007A327F"/>
    <w:rsid w:val="007A34AC"/>
    <w:rsid w:val="007A4494"/>
    <w:rsid w:val="007A74AA"/>
    <w:rsid w:val="007B542D"/>
    <w:rsid w:val="007C03F1"/>
    <w:rsid w:val="007C1E57"/>
    <w:rsid w:val="007C1FE1"/>
    <w:rsid w:val="007C757E"/>
    <w:rsid w:val="007D2989"/>
    <w:rsid w:val="007D7500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F09"/>
    <w:rsid w:val="00806F46"/>
    <w:rsid w:val="0081090E"/>
    <w:rsid w:val="00810A9D"/>
    <w:rsid w:val="00817140"/>
    <w:rsid w:val="00817D9C"/>
    <w:rsid w:val="00820A73"/>
    <w:rsid w:val="00830FDC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63DC"/>
    <w:rsid w:val="008673D0"/>
    <w:rsid w:val="008736F6"/>
    <w:rsid w:val="0087500E"/>
    <w:rsid w:val="008774A3"/>
    <w:rsid w:val="00877B90"/>
    <w:rsid w:val="00880C82"/>
    <w:rsid w:val="00881D56"/>
    <w:rsid w:val="0088201F"/>
    <w:rsid w:val="00882AB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0DCD"/>
    <w:rsid w:val="008B1F9C"/>
    <w:rsid w:val="008B467E"/>
    <w:rsid w:val="008B4B3E"/>
    <w:rsid w:val="008B565F"/>
    <w:rsid w:val="008B6A69"/>
    <w:rsid w:val="008C0656"/>
    <w:rsid w:val="008C11A4"/>
    <w:rsid w:val="008C12D7"/>
    <w:rsid w:val="008C20A1"/>
    <w:rsid w:val="008C382B"/>
    <w:rsid w:val="008C6339"/>
    <w:rsid w:val="008D6805"/>
    <w:rsid w:val="008D6E6F"/>
    <w:rsid w:val="008D6F63"/>
    <w:rsid w:val="008D6FB5"/>
    <w:rsid w:val="008E4C1F"/>
    <w:rsid w:val="008E6B70"/>
    <w:rsid w:val="008E7BDB"/>
    <w:rsid w:val="008F1844"/>
    <w:rsid w:val="008F68FB"/>
    <w:rsid w:val="00901B6B"/>
    <w:rsid w:val="00903C4B"/>
    <w:rsid w:val="00903F2E"/>
    <w:rsid w:val="00904A76"/>
    <w:rsid w:val="009113D9"/>
    <w:rsid w:val="00911579"/>
    <w:rsid w:val="00913740"/>
    <w:rsid w:val="00913F8B"/>
    <w:rsid w:val="00927715"/>
    <w:rsid w:val="00927E68"/>
    <w:rsid w:val="009301EF"/>
    <w:rsid w:val="009304A9"/>
    <w:rsid w:val="0093341F"/>
    <w:rsid w:val="0093770D"/>
    <w:rsid w:val="009408BF"/>
    <w:rsid w:val="009412EB"/>
    <w:rsid w:val="00942736"/>
    <w:rsid w:val="0095148A"/>
    <w:rsid w:val="00951B3D"/>
    <w:rsid w:val="00952225"/>
    <w:rsid w:val="00955241"/>
    <w:rsid w:val="009652DE"/>
    <w:rsid w:val="0096700E"/>
    <w:rsid w:val="00974763"/>
    <w:rsid w:val="00982C7B"/>
    <w:rsid w:val="00983E4F"/>
    <w:rsid w:val="00984AE6"/>
    <w:rsid w:val="00984AFC"/>
    <w:rsid w:val="009851BB"/>
    <w:rsid w:val="00985A31"/>
    <w:rsid w:val="009861B5"/>
    <w:rsid w:val="00987968"/>
    <w:rsid w:val="0099000B"/>
    <w:rsid w:val="00990BC7"/>
    <w:rsid w:val="00991B25"/>
    <w:rsid w:val="00991DF6"/>
    <w:rsid w:val="0099314E"/>
    <w:rsid w:val="009948B9"/>
    <w:rsid w:val="00995310"/>
    <w:rsid w:val="00995E8A"/>
    <w:rsid w:val="009A0591"/>
    <w:rsid w:val="009A08A9"/>
    <w:rsid w:val="009A43AC"/>
    <w:rsid w:val="009B4414"/>
    <w:rsid w:val="009B7084"/>
    <w:rsid w:val="009C12F0"/>
    <w:rsid w:val="009C2AC9"/>
    <w:rsid w:val="009C4020"/>
    <w:rsid w:val="009C5A2E"/>
    <w:rsid w:val="009C69ED"/>
    <w:rsid w:val="009D23E9"/>
    <w:rsid w:val="009D450B"/>
    <w:rsid w:val="009D4DD6"/>
    <w:rsid w:val="009D564F"/>
    <w:rsid w:val="009D5CD5"/>
    <w:rsid w:val="009D6FC3"/>
    <w:rsid w:val="009E0962"/>
    <w:rsid w:val="009E0EF0"/>
    <w:rsid w:val="009E163E"/>
    <w:rsid w:val="009E5310"/>
    <w:rsid w:val="009E7F5F"/>
    <w:rsid w:val="009F4E63"/>
    <w:rsid w:val="00A017EE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37585"/>
    <w:rsid w:val="00A41A6D"/>
    <w:rsid w:val="00A42489"/>
    <w:rsid w:val="00A440E9"/>
    <w:rsid w:val="00A44992"/>
    <w:rsid w:val="00A453A4"/>
    <w:rsid w:val="00A453D8"/>
    <w:rsid w:val="00A45444"/>
    <w:rsid w:val="00A46773"/>
    <w:rsid w:val="00A47E47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6525E"/>
    <w:rsid w:val="00A75394"/>
    <w:rsid w:val="00A759CA"/>
    <w:rsid w:val="00A7701A"/>
    <w:rsid w:val="00A80025"/>
    <w:rsid w:val="00A8192E"/>
    <w:rsid w:val="00A83BA4"/>
    <w:rsid w:val="00A906FB"/>
    <w:rsid w:val="00A90BF4"/>
    <w:rsid w:val="00A91AA3"/>
    <w:rsid w:val="00A94386"/>
    <w:rsid w:val="00A957FC"/>
    <w:rsid w:val="00A96B5B"/>
    <w:rsid w:val="00A97EBE"/>
    <w:rsid w:val="00AA05EC"/>
    <w:rsid w:val="00AA2554"/>
    <w:rsid w:val="00AA2C6E"/>
    <w:rsid w:val="00AA331C"/>
    <w:rsid w:val="00AA43A7"/>
    <w:rsid w:val="00AA4EC3"/>
    <w:rsid w:val="00AA7953"/>
    <w:rsid w:val="00AB010E"/>
    <w:rsid w:val="00AB718C"/>
    <w:rsid w:val="00AD0426"/>
    <w:rsid w:val="00AD7793"/>
    <w:rsid w:val="00AE48CA"/>
    <w:rsid w:val="00AE4AB3"/>
    <w:rsid w:val="00AE735F"/>
    <w:rsid w:val="00AF1852"/>
    <w:rsid w:val="00AF455D"/>
    <w:rsid w:val="00AF4669"/>
    <w:rsid w:val="00AF4E60"/>
    <w:rsid w:val="00AF6749"/>
    <w:rsid w:val="00B03DE7"/>
    <w:rsid w:val="00B04859"/>
    <w:rsid w:val="00B067AB"/>
    <w:rsid w:val="00B10740"/>
    <w:rsid w:val="00B13C42"/>
    <w:rsid w:val="00B13E4E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37DB1"/>
    <w:rsid w:val="00B41DA3"/>
    <w:rsid w:val="00B42783"/>
    <w:rsid w:val="00B42902"/>
    <w:rsid w:val="00B4469A"/>
    <w:rsid w:val="00B45CCB"/>
    <w:rsid w:val="00B50B16"/>
    <w:rsid w:val="00B51BC9"/>
    <w:rsid w:val="00B525F3"/>
    <w:rsid w:val="00B528C7"/>
    <w:rsid w:val="00B52CFF"/>
    <w:rsid w:val="00B53F88"/>
    <w:rsid w:val="00B54D54"/>
    <w:rsid w:val="00B55490"/>
    <w:rsid w:val="00B55B37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7C1"/>
    <w:rsid w:val="00B8419C"/>
    <w:rsid w:val="00B926B9"/>
    <w:rsid w:val="00B963DC"/>
    <w:rsid w:val="00BA4BD2"/>
    <w:rsid w:val="00BB0485"/>
    <w:rsid w:val="00BB085F"/>
    <w:rsid w:val="00BB60F9"/>
    <w:rsid w:val="00BB6102"/>
    <w:rsid w:val="00BC2FA8"/>
    <w:rsid w:val="00BC366A"/>
    <w:rsid w:val="00BC546E"/>
    <w:rsid w:val="00BC5F7D"/>
    <w:rsid w:val="00BC66C5"/>
    <w:rsid w:val="00BD4CE8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23BF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389E"/>
    <w:rsid w:val="00CB66AD"/>
    <w:rsid w:val="00CC07EC"/>
    <w:rsid w:val="00CC4728"/>
    <w:rsid w:val="00CC6203"/>
    <w:rsid w:val="00CD1217"/>
    <w:rsid w:val="00CD35F4"/>
    <w:rsid w:val="00CD5D2F"/>
    <w:rsid w:val="00CE0ABE"/>
    <w:rsid w:val="00CE2928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27E1"/>
    <w:rsid w:val="00D53327"/>
    <w:rsid w:val="00D61041"/>
    <w:rsid w:val="00D61201"/>
    <w:rsid w:val="00D63591"/>
    <w:rsid w:val="00D64891"/>
    <w:rsid w:val="00D65835"/>
    <w:rsid w:val="00D65979"/>
    <w:rsid w:val="00D65C9A"/>
    <w:rsid w:val="00D71B0A"/>
    <w:rsid w:val="00D74A31"/>
    <w:rsid w:val="00D76292"/>
    <w:rsid w:val="00D816B5"/>
    <w:rsid w:val="00D83DBC"/>
    <w:rsid w:val="00D90EF1"/>
    <w:rsid w:val="00D956A0"/>
    <w:rsid w:val="00D96D61"/>
    <w:rsid w:val="00DA39E5"/>
    <w:rsid w:val="00DA529D"/>
    <w:rsid w:val="00DA627B"/>
    <w:rsid w:val="00DA73C6"/>
    <w:rsid w:val="00DB2F05"/>
    <w:rsid w:val="00DB7622"/>
    <w:rsid w:val="00DC1B27"/>
    <w:rsid w:val="00DC29A7"/>
    <w:rsid w:val="00DC2B3C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3401"/>
    <w:rsid w:val="00E15841"/>
    <w:rsid w:val="00E177E7"/>
    <w:rsid w:val="00E20073"/>
    <w:rsid w:val="00E227EC"/>
    <w:rsid w:val="00E23BA0"/>
    <w:rsid w:val="00E23FB5"/>
    <w:rsid w:val="00E240B4"/>
    <w:rsid w:val="00E30748"/>
    <w:rsid w:val="00E31584"/>
    <w:rsid w:val="00E315B9"/>
    <w:rsid w:val="00E410E1"/>
    <w:rsid w:val="00E42CFE"/>
    <w:rsid w:val="00E43DFD"/>
    <w:rsid w:val="00E5063D"/>
    <w:rsid w:val="00E51713"/>
    <w:rsid w:val="00E558F6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B7BBA"/>
    <w:rsid w:val="00EC0013"/>
    <w:rsid w:val="00EC1C95"/>
    <w:rsid w:val="00EC4468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5CB6"/>
    <w:rsid w:val="00EF6A7E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4676"/>
    <w:rsid w:val="00F273E5"/>
    <w:rsid w:val="00F278C9"/>
    <w:rsid w:val="00F34821"/>
    <w:rsid w:val="00F360F3"/>
    <w:rsid w:val="00F36CC0"/>
    <w:rsid w:val="00F36DF5"/>
    <w:rsid w:val="00F37E76"/>
    <w:rsid w:val="00F41056"/>
    <w:rsid w:val="00F4183D"/>
    <w:rsid w:val="00F44BE2"/>
    <w:rsid w:val="00F450F2"/>
    <w:rsid w:val="00F461EA"/>
    <w:rsid w:val="00F54097"/>
    <w:rsid w:val="00F57199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5E6F"/>
    <w:rsid w:val="00FB626C"/>
    <w:rsid w:val="00FC002B"/>
    <w:rsid w:val="00FC4D7D"/>
    <w:rsid w:val="00FC55EA"/>
    <w:rsid w:val="00FD091C"/>
    <w:rsid w:val="00FD34E4"/>
    <w:rsid w:val="00FD351C"/>
    <w:rsid w:val="00FD38E8"/>
    <w:rsid w:val="00FD75F8"/>
    <w:rsid w:val="00FE0092"/>
    <w:rsid w:val="00FE1755"/>
    <w:rsid w:val="00FE17AE"/>
    <w:rsid w:val="00FE3634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419</cp:revision>
  <cp:lastPrinted>2023-12-08T13:52:00Z</cp:lastPrinted>
  <dcterms:created xsi:type="dcterms:W3CDTF">2023-12-08T08:15:00Z</dcterms:created>
  <dcterms:modified xsi:type="dcterms:W3CDTF">2024-10-01T09:45:00Z</dcterms:modified>
</cp:coreProperties>
</file>